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47F9" w14:textId="6918A08C" w:rsidR="00242F40" w:rsidRPr="00C75D8D" w:rsidRDefault="004F2390" w:rsidP="004F2390">
      <w:pPr>
        <w:pStyle w:val="AppendixHeading1-usermanual"/>
        <w:numPr>
          <w:ilvl w:val="0"/>
          <w:numId w:val="0"/>
        </w:numPr>
        <w:jc w:val="both"/>
      </w:pPr>
      <w:bookmarkStart w:id="0" w:name="_Ref363472429"/>
      <w:bookmarkStart w:id="1" w:name="_Ref363474696"/>
      <w:bookmarkStart w:id="2" w:name="_Toc379199583"/>
      <w:r>
        <w:t>Appendix 1</w:t>
      </w:r>
      <w:r w:rsidR="00242F40" w:rsidRPr="00C75D8D">
        <w:tab/>
        <w:t xml:space="preserve">Background information for appointment of </w:t>
      </w:r>
      <w:r w:rsidR="00997F05">
        <w:t xml:space="preserve">BPR </w:t>
      </w:r>
      <w:r w:rsidR="00242F40">
        <w:t xml:space="preserve">NEA Administrator and </w:t>
      </w:r>
      <w:r w:rsidR="003E4527">
        <w:t xml:space="preserve">BPR </w:t>
      </w:r>
      <w:r w:rsidR="00242F40">
        <w:t>SPOC</w:t>
      </w:r>
    </w:p>
    <w:p w14:paraId="1FBEEABC" w14:textId="6099ABAD" w:rsidR="00242F40" w:rsidRPr="006C4969" w:rsidRDefault="00997F05" w:rsidP="004F2390">
      <w:pPr>
        <w:pStyle w:val="Heading1"/>
        <w:jc w:val="both"/>
      </w:pPr>
      <w:bookmarkStart w:id="3" w:name="_Ref315792135"/>
      <w:bookmarkStart w:id="4" w:name="_Toc363124706"/>
      <w:bookmarkStart w:id="5" w:name="_Toc379196927"/>
      <w:bookmarkStart w:id="6" w:name="_Toc379199245"/>
      <w:r>
        <w:t xml:space="preserve">BPR </w:t>
      </w:r>
      <w:r w:rsidR="00242F40">
        <w:t>NEA</w:t>
      </w:r>
      <w:r w:rsidR="00242F40" w:rsidRPr="006C4969">
        <w:t xml:space="preserve"> Administrator</w:t>
      </w:r>
      <w:bookmarkEnd w:id="3"/>
      <w:bookmarkEnd w:id="4"/>
      <w:bookmarkEnd w:id="5"/>
      <w:bookmarkEnd w:id="6"/>
    </w:p>
    <w:p w14:paraId="7A3FE883" w14:textId="77777777" w:rsidR="00242F40" w:rsidRPr="006C4969" w:rsidRDefault="00242F40" w:rsidP="004F2390">
      <w:pPr>
        <w:jc w:val="both"/>
      </w:pPr>
    </w:p>
    <w:p w14:paraId="00C7EEF7" w14:textId="124825B3" w:rsidR="00242F40" w:rsidRPr="006C4969" w:rsidRDefault="00242F40" w:rsidP="004F2390">
      <w:pPr>
        <w:pStyle w:val="Heading2"/>
        <w:jc w:val="both"/>
      </w:pPr>
      <w:bookmarkStart w:id="7" w:name="_Toc379196928"/>
      <w:bookmarkStart w:id="8" w:name="_Toc379199246"/>
      <w:r w:rsidRPr="006C4969">
        <w:t xml:space="preserve">Number of </w:t>
      </w:r>
      <w:r w:rsidR="007D4BB5">
        <w:t xml:space="preserve">BPR </w:t>
      </w:r>
      <w:r>
        <w:t>NEA</w:t>
      </w:r>
      <w:r w:rsidRPr="006C4969">
        <w:t xml:space="preserve"> Administrators</w:t>
      </w:r>
      <w:bookmarkEnd w:id="7"/>
      <w:bookmarkEnd w:id="8"/>
    </w:p>
    <w:p w14:paraId="1127397F" w14:textId="77777777" w:rsidR="00242F40" w:rsidRPr="006C4969" w:rsidRDefault="00242F40" w:rsidP="004F2390">
      <w:pPr>
        <w:jc w:val="both"/>
      </w:pPr>
    </w:p>
    <w:p w14:paraId="28D586B8" w14:textId="492D2425" w:rsidR="00242F40" w:rsidRPr="006C4969" w:rsidRDefault="00242F40" w:rsidP="004F2390">
      <w:pPr>
        <w:pStyle w:val="BodyText"/>
        <w:jc w:val="both"/>
      </w:pPr>
      <w:r w:rsidRPr="006C4969">
        <w:t xml:space="preserve">Each Member State must nominate two </w:t>
      </w:r>
      <w:r w:rsidR="003E4527">
        <w:t xml:space="preserve">BPR </w:t>
      </w:r>
      <w:r>
        <w:t>NEA</w:t>
      </w:r>
      <w:r w:rsidRPr="006C4969">
        <w:t xml:space="preserve"> Administrators, with one playing the role of an alternate in case of holidays or other absences. </w:t>
      </w:r>
    </w:p>
    <w:p w14:paraId="229E0E0F" w14:textId="77777777" w:rsidR="00242F40" w:rsidRPr="006C4969" w:rsidRDefault="00242F40" w:rsidP="004F2390">
      <w:pPr>
        <w:pStyle w:val="Heading2"/>
        <w:jc w:val="both"/>
      </w:pPr>
      <w:bookmarkStart w:id="9" w:name="_Toc379196929"/>
      <w:bookmarkStart w:id="10" w:name="_Toc379199247"/>
      <w:r w:rsidRPr="006C4969">
        <w:t>Institutional Location</w:t>
      </w:r>
      <w:bookmarkEnd w:id="9"/>
      <w:bookmarkEnd w:id="10"/>
      <w:r w:rsidRPr="006C4969">
        <w:t xml:space="preserve"> </w:t>
      </w:r>
    </w:p>
    <w:p w14:paraId="248E230A" w14:textId="77777777" w:rsidR="00242F40" w:rsidRPr="006C4969" w:rsidRDefault="00242F40" w:rsidP="004F2390">
      <w:pPr>
        <w:jc w:val="both"/>
      </w:pPr>
    </w:p>
    <w:p w14:paraId="7BE300B2" w14:textId="5A627527" w:rsidR="00242F40" w:rsidRPr="006C4969" w:rsidRDefault="00242F40" w:rsidP="004F2390">
      <w:pPr>
        <w:pStyle w:val="BodyText"/>
        <w:jc w:val="both"/>
      </w:pPr>
      <w:r w:rsidRPr="006C4969">
        <w:t xml:space="preserve">Each Member State </w:t>
      </w:r>
      <w:proofErr w:type="gramStart"/>
      <w:r w:rsidRPr="006C4969">
        <w:t>has to</w:t>
      </w:r>
      <w:proofErr w:type="gramEnd"/>
      <w:r w:rsidRPr="006C4969">
        <w:t xml:space="preserve"> select the location and institution in which the </w:t>
      </w:r>
      <w:r w:rsidR="00997F05">
        <w:t xml:space="preserve">BPR </w:t>
      </w:r>
      <w:r>
        <w:t>NEA</w:t>
      </w:r>
      <w:r w:rsidRPr="006C4969">
        <w:t xml:space="preserve"> Administrator and his alternate will be located. The institutional location of the </w:t>
      </w:r>
      <w:r w:rsidR="00997F05">
        <w:t xml:space="preserve">BPR </w:t>
      </w:r>
      <w:r>
        <w:t>NEA</w:t>
      </w:r>
      <w:r w:rsidRPr="006C4969">
        <w:t xml:space="preserve"> Administrator may be different in each MS and depends on national administrative structures. </w:t>
      </w:r>
    </w:p>
    <w:p w14:paraId="38A6BEEE" w14:textId="7621984A" w:rsidR="00242F40" w:rsidRPr="006C4969" w:rsidRDefault="00242F40" w:rsidP="004F2390">
      <w:pPr>
        <w:pStyle w:val="BodyText"/>
        <w:jc w:val="both"/>
      </w:pPr>
      <w:r w:rsidRPr="006C4969">
        <w:t xml:space="preserve">The two </w:t>
      </w:r>
      <w:r w:rsidR="00997F05">
        <w:t xml:space="preserve">BPR </w:t>
      </w:r>
      <w:r>
        <w:t>NEA</w:t>
      </w:r>
      <w:r w:rsidRPr="006C4969">
        <w:t xml:space="preserve"> Administrators can be based in one location and organisation only. This organisation is referred to as the </w:t>
      </w:r>
      <w:r w:rsidR="00EB61D7">
        <w:t xml:space="preserve">BPR </w:t>
      </w:r>
      <w:r>
        <w:t>NEA</w:t>
      </w:r>
      <w:r w:rsidRPr="006C4969">
        <w:t xml:space="preserve"> Administrator Institution.</w:t>
      </w:r>
      <w:r w:rsidR="00AD3AD0">
        <w:t xml:space="preserve"> </w:t>
      </w:r>
    </w:p>
    <w:p w14:paraId="6FF79337" w14:textId="77777777" w:rsidR="00242F40" w:rsidRPr="006C4969" w:rsidRDefault="00242F40" w:rsidP="004F2390">
      <w:pPr>
        <w:pStyle w:val="Heading2"/>
        <w:jc w:val="both"/>
      </w:pPr>
      <w:bookmarkStart w:id="11" w:name="_Ref315792210"/>
      <w:bookmarkStart w:id="12" w:name="_Toc379196930"/>
      <w:bookmarkStart w:id="13" w:name="_Toc379199248"/>
      <w:r w:rsidRPr="006C4969">
        <w:t>Role and tasks</w:t>
      </w:r>
      <w:bookmarkEnd w:id="11"/>
      <w:bookmarkEnd w:id="12"/>
      <w:bookmarkEnd w:id="13"/>
    </w:p>
    <w:p w14:paraId="07D78E42" w14:textId="77777777" w:rsidR="00242F40" w:rsidRPr="006C4969" w:rsidRDefault="00242F40" w:rsidP="004F2390">
      <w:pPr>
        <w:jc w:val="both"/>
      </w:pPr>
    </w:p>
    <w:p w14:paraId="73793564" w14:textId="122CDDA7" w:rsidR="00242F40" w:rsidRPr="006C4969" w:rsidRDefault="00242F40" w:rsidP="004F2390">
      <w:pPr>
        <w:pStyle w:val="BodyText"/>
        <w:jc w:val="both"/>
      </w:pPr>
      <w:r w:rsidRPr="006C4969">
        <w:t xml:space="preserve">The </w:t>
      </w:r>
      <w:r w:rsidR="00997F05">
        <w:t xml:space="preserve">BPR </w:t>
      </w:r>
      <w:r>
        <w:t>NEA</w:t>
      </w:r>
      <w:r w:rsidRPr="006C4969">
        <w:t xml:space="preserve"> Administrator and his alternate shall manage </w:t>
      </w:r>
      <w:r w:rsidR="00997F05">
        <w:t xml:space="preserve">BPR </w:t>
      </w:r>
      <w:r w:rsidR="008E2259">
        <w:t xml:space="preserve">NEA </w:t>
      </w:r>
      <w:r w:rsidRPr="006C4969">
        <w:t>users on a national level and have the following responsibilities:</w:t>
      </w:r>
    </w:p>
    <w:p w14:paraId="0C023F1B" w14:textId="77777777" w:rsidR="00242F40" w:rsidRPr="006C4969" w:rsidRDefault="00242F40" w:rsidP="004F2390">
      <w:pPr>
        <w:pStyle w:val="BodyText"/>
        <w:jc w:val="both"/>
        <w:rPr>
          <w:b/>
        </w:rPr>
      </w:pPr>
      <w:r w:rsidRPr="006C4969">
        <w:rPr>
          <w:b/>
        </w:rPr>
        <w:t>User Management and Administrative Tasks</w:t>
      </w:r>
    </w:p>
    <w:p w14:paraId="2EA54384" w14:textId="4C97143F" w:rsidR="00242F40" w:rsidRPr="006C4969" w:rsidRDefault="00836C67" w:rsidP="004F2390">
      <w:pPr>
        <w:pStyle w:val="BodyText"/>
        <w:ind w:left="1134" w:hanging="567"/>
        <w:jc w:val="both"/>
      </w:pPr>
      <w:r>
        <w:t>a</w:t>
      </w:r>
      <w:r w:rsidR="00242F40" w:rsidRPr="006C4969">
        <w:t>)</w:t>
      </w:r>
      <w:r w:rsidR="00242F40" w:rsidRPr="006C4969">
        <w:tab/>
        <w:t xml:space="preserve">granting </w:t>
      </w:r>
      <w:r w:rsidR="00EB61D7">
        <w:t xml:space="preserve">BRP </w:t>
      </w:r>
      <w:r w:rsidR="00242F40">
        <w:t xml:space="preserve">NEA </w:t>
      </w:r>
      <w:r w:rsidR="00242F40" w:rsidRPr="006C4969">
        <w:t xml:space="preserve">users access to the </w:t>
      </w:r>
      <w:r w:rsidR="006E53E6">
        <w:t xml:space="preserve">Interact BPR NEA </w:t>
      </w:r>
      <w:proofErr w:type="gramStart"/>
      <w:r w:rsidR="006E53E6">
        <w:t>application</w:t>
      </w:r>
      <w:r w:rsidR="000B271E">
        <w:t>;</w:t>
      </w:r>
      <w:proofErr w:type="gramEnd"/>
    </w:p>
    <w:p w14:paraId="151BED7B" w14:textId="58E84F85" w:rsidR="00242F40" w:rsidRPr="006C4969" w:rsidRDefault="00836C67" w:rsidP="004F2390">
      <w:pPr>
        <w:pStyle w:val="BodyText"/>
        <w:ind w:left="1134" w:hanging="567"/>
        <w:jc w:val="both"/>
      </w:pPr>
      <w:r>
        <w:t>b</w:t>
      </w:r>
      <w:r w:rsidR="00242F40" w:rsidRPr="006C4969">
        <w:t>)</w:t>
      </w:r>
      <w:r w:rsidR="00242F40" w:rsidRPr="006C4969">
        <w:tab/>
        <w:t xml:space="preserve">collecting and keeping </w:t>
      </w:r>
      <w:proofErr w:type="gramStart"/>
      <w:r w:rsidR="00242F40" w:rsidRPr="006C4969">
        <w:t>up-to-date</w:t>
      </w:r>
      <w:proofErr w:type="gramEnd"/>
      <w:r w:rsidR="00242F40" w:rsidRPr="006C4969">
        <w:t xml:space="preserve"> a list of </w:t>
      </w:r>
      <w:r w:rsidR="00EB61D7">
        <w:t xml:space="preserve">BPR </w:t>
      </w:r>
      <w:r w:rsidR="00242F40">
        <w:t>NEA users</w:t>
      </w:r>
      <w:r w:rsidR="00242F40" w:rsidRPr="006C4969">
        <w:t>, with their contact details and positions that have been granted access as well as documented decisions of relevant national authorities</w:t>
      </w:r>
      <w:r w:rsidR="000B271E">
        <w:t>;</w:t>
      </w:r>
      <w:r w:rsidR="00242F40" w:rsidRPr="006C4969">
        <w:t xml:space="preserve"> </w:t>
      </w:r>
    </w:p>
    <w:p w14:paraId="6B7248F2" w14:textId="149B4842" w:rsidR="00242F40" w:rsidRPr="006C4969" w:rsidRDefault="00836C67" w:rsidP="004F2390">
      <w:pPr>
        <w:pStyle w:val="BodyText"/>
        <w:ind w:left="1134" w:hanging="567"/>
        <w:jc w:val="both"/>
      </w:pPr>
      <w:r>
        <w:t>c</w:t>
      </w:r>
      <w:r w:rsidR="00242F40" w:rsidRPr="006C4969">
        <w:t>)</w:t>
      </w:r>
      <w:r w:rsidR="00242F40" w:rsidRPr="006C4969">
        <w:tab/>
        <w:t xml:space="preserve">collecting the declarations from </w:t>
      </w:r>
      <w:r w:rsidR="00242F40">
        <w:t xml:space="preserve">National </w:t>
      </w:r>
      <w:r w:rsidR="00242F40" w:rsidRPr="006C4969">
        <w:t xml:space="preserve">Enforcement Authorities </w:t>
      </w:r>
      <w:r w:rsidR="00242F40">
        <w:t xml:space="preserve">whose staff has access to </w:t>
      </w:r>
      <w:r w:rsidR="006E53E6">
        <w:t>Interact BPR NEA</w:t>
      </w:r>
      <w:r w:rsidR="00242F40">
        <w:t xml:space="preserve">, as </w:t>
      </w:r>
      <w:r w:rsidR="00242F40" w:rsidRPr="006C4969">
        <w:t xml:space="preserve">specified in point </w:t>
      </w:r>
      <w:r w:rsidR="00151954" w:rsidRPr="00561F0E">
        <w:t>5</w:t>
      </w:r>
      <w:r w:rsidR="00242F40" w:rsidRPr="006C4969">
        <w:t xml:space="preserve"> of the Security </w:t>
      </w:r>
      <w:proofErr w:type="gramStart"/>
      <w:r w:rsidR="00242F40" w:rsidRPr="006C4969">
        <w:t>Recommendations</w:t>
      </w:r>
      <w:r w:rsidR="000B271E">
        <w:t>;</w:t>
      </w:r>
      <w:proofErr w:type="gramEnd"/>
    </w:p>
    <w:p w14:paraId="1A654DC6" w14:textId="59BBF530" w:rsidR="00242F40" w:rsidRPr="006C4969" w:rsidRDefault="00836C67" w:rsidP="004F2390">
      <w:pPr>
        <w:pStyle w:val="BodyText"/>
        <w:ind w:left="1134" w:hanging="567"/>
        <w:jc w:val="both"/>
      </w:pPr>
      <w:r>
        <w:t>d</w:t>
      </w:r>
      <w:r w:rsidR="00242F40" w:rsidRPr="006C4969">
        <w:t>)</w:t>
      </w:r>
      <w:r w:rsidR="00242F40" w:rsidRPr="006C4969">
        <w:tab/>
        <w:t xml:space="preserve">ensuring that </w:t>
      </w:r>
      <w:r w:rsidR="00EB61D7">
        <w:t xml:space="preserve">BPR </w:t>
      </w:r>
      <w:r w:rsidR="00242F40">
        <w:t xml:space="preserve">NEA </w:t>
      </w:r>
      <w:r w:rsidR="00242F40" w:rsidRPr="006C4969">
        <w:t xml:space="preserve">users, no longer within the enforcement organisation, are immediately removed from having all access and that user verification is done once a year to identify users that have changed position or left the </w:t>
      </w:r>
      <w:proofErr w:type="gramStart"/>
      <w:r w:rsidR="00242F40" w:rsidRPr="006C4969">
        <w:t>organisation</w:t>
      </w:r>
      <w:r w:rsidR="000B271E">
        <w:t>;</w:t>
      </w:r>
      <w:proofErr w:type="gramEnd"/>
      <w:r w:rsidR="00242F40" w:rsidRPr="006C4969">
        <w:t xml:space="preserve"> </w:t>
      </w:r>
    </w:p>
    <w:p w14:paraId="3B6560F3" w14:textId="77777777" w:rsidR="00242F40" w:rsidRPr="006C4969" w:rsidRDefault="00242F40" w:rsidP="004F2390">
      <w:pPr>
        <w:pStyle w:val="BodyText"/>
        <w:jc w:val="both"/>
        <w:rPr>
          <w:b/>
        </w:rPr>
      </w:pPr>
      <w:r w:rsidRPr="006C4969">
        <w:rPr>
          <w:b/>
        </w:rPr>
        <w:t>Support related tasks</w:t>
      </w:r>
    </w:p>
    <w:p w14:paraId="3B4510B6" w14:textId="6ECC0D95" w:rsidR="00242F40" w:rsidRPr="006C4969" w:rsidRDefault="00836C67" w:rsidP="004F2390">
      <w:pPr>
        <w:pStyle w:val="BodyText"/>
        <w:ind w:left="1134" w:hanging="567"/>
        <w:jc w:val="both"/>
      </w:pPr>
      <w:r>
        <w:t>e</w:t>
      </w:r>
      <w:r w:rsidR="00242F40" w:rsidRPr="006C4969">
        <w:t>)</w:t>
      </w:r>
      <w:r w:rsidR="00242F40" w:rsidRPr="006C4969">
        <w:tab/>
      </w:r>
      <w:r w:rsidR="000B271E">
        <w:t>o</w:t>
      </w:r>
      <w:r w:rsidR="00242F40" w:rsidRPr="006C4969">
        <w:t xml:space="preserve">ffering support for </w:t>
      </w:r>
      <w:r w:rsidR="00EB61D7">
        <w:t xml:space="preserve">BPR </w:t>
      </w:r>
      <w:r w:rsidR="00242F40">
        <w:t xml:space="preserve">NEA </w:t>
      </w:r>
      <w:r w:rsidR="00242F40" w:rsidRPr="006C4969">
        <w:t xml:space="preserve">users </w:t>
      </w:r>
      <w:r w:rsidR="00242F40">
        <w:t xml:space="preserve">of </w:t>
      </w:r>
      <w:r w:rsidR="006E53E6">
        <w:t>Interact BPR NEA</w:t>
      </w:r>
      <w:r w:rsidR="00242F40">
        <w:t xml:space="preserve"> </w:t>
      </w:r>
      <w:r w:rsidR="006E53E6">
        <w:t xml:space="preserve">related </w:t>
      </w:r>
      <w:r w:rsidR="00242F40" w:rsidRPr="006C4969">
        <w:t xml:space="preserve">to user management duties such as unblocking </w:t>
      </w:r>
      <w:proofErr w:type="gramStart"/>
      <w:r w:rsidR="00242F40" w:rsidRPr="006C4969">
        <w:t>accounts</w:t>
      </w:r>
      <w:r w:rsidR="000B271E">
        <w:t>;</w:t>
      </w:r>
      <w:proofErr w:type="gramEnd"/>
    </w:p>
    <w:p w14:paraId="639EE610" w14:textId="77777777" w:rsidR="00242F40" w:rsidRPr="006C4969" w:rsidRDefault="00242F40" w:rsidP="004F2390">
      <w:pPr>
        <w:jc w:val="both"/>
      </w:pPr>
    </w:p>
    <w:p w14:paraId="61ECECBF" w14:textId="77777777" w:rsidR="00242F40" w:rsidRPr="006C4969" w:rsidRDefault="00242F40" w:rsidP="004F2390">
      <w:pPr>
        <w:pStyle w:val="BodyText"/>
        <w:jc w:val="both"/>
        <w:rPr>
          <w:b/>
        </w:rPr>
      </w:pPr>
      <w:r w:rsidRPr="006C4969">
        <w:rPr>
          <w:b/>
        </w:rPr>
        <w:t>Security related tasks:</w:t>
      </w:r>
    </w:p>
    <w:p w14:paraId="59433BAB" w14:textId="0ADD5726" w:rsidR="00242F40" w:rsidRPr="006C4969" w:rsidRDefault="00836C67" w:rsidP="004F2390">
      <w:pPr>
        <w:pStyle w:val="BodyText"/>
        <w:ind w:left="1134" w:hanging="567"/>
        <w:jc w:val="both"/>
      </w:pPr>
      <w:r>
        <w:t>f</w:t>
      </w:r>
      <w:r w:rsidR="00242F40" w:rsidRPr="006C4969">
        <w:t>)</w:t>
      </w:r>
      <w:r w:rsidR="00242F40" w:rsidRPr="006C4969">
        <w:tab/>
      </w:r>
      <w:r w:rsidR="000B271E">
        <w:t>o</w:t>
      </w:r>
      <w:r w:rsidR="00242F40" w:rsidRPr="006C4969">
        <w:t xml:space="preserve">rganising security training or preparing security training materials for </w:t>
      </w:r>
      <w:r w:rsidR="00EB61D7">
        <w:t xml:space="preserve">BPR </w:t>
      </w:r>
      <w:r w:rsidR="00242F40">
        <w:t xml:space="preserve">NEA </w:t>
      </w:r>
      <w:r w:rsidR="00242F40" w:rsidRPr="006C4969">
        <w:t>user</w:t>
      </w:r>
      <w:r w:rsidR="00242F40">
        <w:t>s</w:t>
      </w:r>
      <w:r w:rsidR="00242F40" w:rsidRPr="006C4969">
        <w:t xml:space="preserve"> </w:t>
      </w:r>
      <w:r w:rsidR="00242F40" w:rsidRPr="006C4969">
        <w:lastRenderedPageBreak/>
        <w:t xml:space="preserve">to promote security awareness among </w:t>
      </w:r>
      <w:r w:rsidR="006E53E6">
        <w:t>Interact BPR</w:t>
      </w:r>
      <w:r w:rsidR="00242F40" w:rsidRPr="006C4969">
        <w:t xml:space="preserve"> </w:t>
      </w:r>
      <w:r w:rsidR="00242F40">
        <w:t xml:space="preserve">NEA </w:t>
      </w:r>
      <w:r w:rsidR="00242F40" w:rsidRPr="006C4969">
        <w:t>users</w:t>
      </w:r>
      <w:r w:rsidR="00242F40">
        <w:rPr>
          <w:rStyle w:val="FootnoteReference"/>
        </w:rPr>
        <w:footnoteReference w:id="2"/>
      </w:r>
      <w:r w:rsidR="000B271E">
        <w:t>;</w:t>
      </w:r>
      <w:r w:rsidR="00242F40">
        <w:t xml:space="preserve"> </w:t>
      </w:r>
    </w:p>
    <w:p w14:paraId="0354F8A0" w14:textId="0621B7D3" w:rsidR="00242F40" w:rsidRPr="006C4969" w:rsidRDefault="00836C67" w:rsidP="004F2390">
      <w:pPr>
        <w:pStyle w:val="BodyText"/>
        <w:ind w:left="1134" w:hanging="567"/>
        <w:jc w:val="both"/>
      </w:pPr>
      <w:r>
        <w:t>g</w:t>
      </w:r>
      <w:r w:rsidR="00242F40" w:rsidRPr="006C4969">
        <w:t>)</w:t>
      </w:r>
      <w:r w:rsidR="00242F40" w:rsidRPr="006C4969">
        <w:tab/>
      </w:r>
      <w:r w:rsidR="000B271E">
        <w:t>i</w:t>
      </w:r>
      <w:r w:rsidR="00242F40" w:rsidRPr="006C4969">
        <w:t xml:space="preserve">mmediately reporting to ECHA all suspected, attempted or actual security breaches that may have compromised </w:t>
      </w:r>
      <w:r w:rsidR="006E53E6">
        <w:t>Interact BPR NEA</w:t>
      </w:r>
      <w:r w:rsidR="00242F40">
        <w:t xml:space="preserve"> </w:t>
      </w:r>
      <w:r w:rsidR="00242F40" w:rsidRPr="006C4969">
        <w:t>data unless they have already been reported by the respective Enforcement Authority, including:</w:t>
      </w:r>
    </w:p>
    <w:p w14:paraId="6DD2BC02" w14:textId="77777777" w:rsidR="00242F40" w:rsidRPr="006C4969" w:rsidRDefault="00242F40" w:rsidP="004F2390">
      <w:pPr>
        <w:pStyle w:val="BodyText"/>
        <w:ind w:left="1418" w:hanging="567"/>
        <w:jc w:val="both"/>
      </w:pPr>
      <w:proofErr w:type="spellStart"/>
      <w:r w:rsidRPr="006C4969">
        <w:t>i</w:t>
      </w:r>
      <w:proofErr w:type="spellEnd"/>
      <w:r w:rsidRPr="006C4969">
        <w:t>)</w:t>
      </w:r>
      <w:r w:rsidRPr="006C4969">
        <w:tab/>
        <w:t xml:space="preserve">Any serious attempt at illegal or unauthorised entry into a security area </w:t>
      </w:r>
    </w:p>
    <w:p w14:paraId="4883872C" w14:textId="47329566" w:rsidR="00242F40" w:rsidRPr="006C4969" w:rsidRDefault="00242F40" w:rsidP="004F2390">
      <w:pPr>
        <w:pStyle w:val="BodyText"/>
        <w:ind w:left="1418" w:hanging="567"/>
        <w:jc w:val="both"/>
      </w:pPr>
      <w:r w:rsidRPr="006C4969">
        <w:t>ii)</w:t>
      </w:r>
      <w:r w:rsidRPr="006C4969">
        <w:tab/>
        <w:t xml:space="preserve">Any loss, theft or compromise of </w:t>
      </w:r>
      <w:r w:rsidR="00475B3A">
        <w:t>BPR</w:t>
      </w:r>
      <w:r w:rsidRPr="006C4969">
        <w:t xml:space="preserve"> data available through </w:t>
      </w:r>
      <w:r w:rsidR="006E53E6">
        <w:t>Interact BPR NEA</w:t>
      </w:r>
    </w:p>
    <w:p w14:paraId="78E589B5" w14:textId="53A1AD9C" w:rsidR="00242F40" w:rsidRPr="006C4969" w:rsidRDefault="00242F40" w:rsidP="004F2390">
      <w:pPr>
        <w:pStyle w:val="BodyText"/>
        <w:ind w:left="1418" w:hanging="567"/>
        <w:jc w:val="both"/>
      </w:pPr>
      <w:r w:rsidRPr="006C4969">
        <w:t>iii)</w:t>
      </w:r>
      <w:r w:rsidRPr="006C4969">
        <w:tab/>
        <w:t xml:space="preserve">Any attempt to corrupt an official with a view to gaining access to </w:t>
      </w:r>
      <w:r w:rsidR="006E53E6">
        <w:t>biocidal</w:t>
      </w:r>
      <w:r w:rsidRPr="006C4969">
        <w:t xml:space="preserve"> data available through </w:t>
      </w:r>
      <w:r w:rsidR="006E53E6">
        <w:t>Interact BPR NEA</w:t>
      </w:r>
      <w:r w:rsidRPr="006C4969">
        <w:t xml:space="preserve"> or other sensitive material</w:t>
      </w:r>
      <w:r w:rsidR="006E53E6">
        <w:t>.</w:t>
      </w:r>
    </w:p>
    <w:p w14:paraId="18E0E615" w14:textId="77777777" w:rsidR="00242F40" w:rsidRPr="006C4969" w:rsidRDefault="00242F40" w:rsidP="004F2390">
      <w:pPr>
        <w:jc w:val="both"/>
      </w:pPr>
    </w:p>
    <w:p w14:paraId="06E77ABD" w14:textId="77777777" w:rsidR="00242F40" w:rsidRPr="006C4969" w:rsidRDefault="00242F40" w:rsidP="004F2390">
      <w:pPr>
        <w:pStyle w:val="Heading2"/>
        <w:jc w:val="both"/>
      </w:pPr>
      <w:bookmarkStart w:id="14" w:name="_Ref315792590"/>
      <w:bookmarkStart w:id="15" w:name="_Toc379196931"/>
      <w:bookmarkStart w:id="16" w:name="_Toc379199249"/>
      <w:r w:rsidRPr="006C4969">
        <w:t>Appointment</w:t>
      </w:r>
      <w:bookmarkEnd w:id="14"/>
      <w:bookmarkEnd w:id="15"/>
      <w:bookmarkEnd w:id="16"/>
      <w:r>
        <w:t xml:space="preserve"> procedure</w:t>
      </w:r>
    </w:p>
    <w:p w14:paraId="68D8CF6D" w14:textId="41208E1B" w:rsidR="00242F40" w:rsidRPr="006C4969" w:rsidRDefault="00242F40" w:rsidP="004F2390">
      <w:pPr>
        <w:pStyle w:val="BodyText"/>
        <w:jc w:val="both"/>
      </w:pPr>
      <w:r w:rsidRPr="006C4969">
        <w:t xml:space="preserve">The appointment of the </w:t>
      </w:r>
      <w:r w:rsidR="00EB61D7">
        <w:t xml:space="preserve">BPR </w:t>
      </w:r>
      <w:r>
        <w:t>NEA</w:t>
      </w:r>
      <w:r w:rsidRPr="006C4969">
        <w:t xml:space="preserve"> Administrator(s) </w:t>
      </w:r>
      <w:r>
        <w:t xml:space="preserve">requires that a </w:t>
      </w:r>
      <w:r w:rsidRPr="006C4969">
        <w:t>formal decision</w:t>
      </w:r>
      <w:r>
        <w:t xml:space="preserve"> </w:t>
      </w:r>
      <w:r w:rsidRPr="006C4969">
        <w:t xml:space="preserve">on who is to be the </w:t>
      </w:r>
      <w:r w:rsidR="00EB61D7">
        <w:t xml:space="preserve">BPR </w:t>
      </w:r>
      <w:r>
        <w:t xml:space="preserve">NEA </w:t>
      </w:r>
      <w:r w:rsidRPr="006C4969">
        <w:t xml:space="preserve">Administrator is </w:t>
      </w:r>
      <w:r>
        <w:t xml:space="preserve">taken </w:t>
      </w:r>
      <w:r w:rsidRPr="006C4969">
        <w:t>at a national level</w:t>
      </w:r>
      <w:r>
        <w:t xml:space="preserve">, in consultation with SON member. The appointment is then made </w:t>
      </w:r>
      <w:r w:rsidRPr="006C4969">
        <w:t>sending three documents to ECHA:</w:t>
      </w:r>
    </w:p>
    <w:p w14:paraId="609A6C53" w14:textId="77777777" w:rsidR="00242F40" w:rsidRPr="00274F62" w:rsidRDefault="00242F40" w:rsidP="004F239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094751">
        <w:t xml:space="preserve">The actual appointment </w:t>
      </w:r>
      <w:r w:rsidRPr="00F141E4">
        <w:t xml:space="preserve">decision from the appointing institution </w:t>
      </w:r>
    </w:p>
    <w:p w14:paraId="1F3AA34A" w14:textId="71E11532" w:rsidR="00242F40" w:rsidRPr="006C4969" w:rsidRDefault="00242F40" w:rsidP="004F239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C4969">
        <w:t xml:space="preserve">The cover letter signed by the member of the </w:t>
      </w:r>
      <w:r w:rsidR="00E92B50">
        <w:t>BPRS</w:t>
      </w:r>
      <w:r w:rsidR="00AD3AD0">
        <w:t>; the Member of the SON of the MS needs to be informed</w:t>
      </w:r>
      <w:r w:rsidRPr="006C4969">
        <w:t xml:space="preserve"> </w:t>
      </w:r>
    </w:p>
    <w:p w14:paraId="27972061" w14:textId="2E05A32E" w:rsidR="00242F40" w:rsidRPr="006C4969" w:rsidRDefault="00242F40" w:rsidP="004F239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C4969">
        <w:t>The declaration of confidentiality and non-disclosure as described in</w:t>
      </w:r>
      <w:r w:rsidR="00E62F59">
        <w:t xml:space="preserve"> Appendix </w:t>
      </w:r>
      <w:r w:rsidR="003D33F5">
        <w:t>4</w:t>
      </w:r>
      <w:r w:rsidR="00E62F59">
        <w:t>.</w:t>
      </w:r>
    </w:p>
    <w:p w14:paraId="6BC2028D" w14:textId="6910DCB5" w:rsidR="00242F40" w:rsidRPr="006C4969" w:rsidRDefault="00242F40" w:rsidP="004F2390">
      <w:pPr>
        <w:pStyle w:val="BodyText"/>
        <w:jc w:val="both"/>
      </w:pPr>
      <w:r w:rsidRPr="006C4969">
        <w:t xml:space="preserve">Please refer to </w:t>
      </w:r>
      <w:r w:rsidRPr="00E218F5">
        <w:t xml:space="preserve">Appendices </w:t>
      </w:r>
      <w:r w:rsidR="003D33F5">
        <w:t>2</w:t>
      </w:r>
      <w:r w:rsidR="00AA7268">
        <w:t>-</w:t>
      </w:r>
      <w:r w:rsidR="003D33F5">
        <w:t>4</w:t>
      </w:r>
      <w:r>
        <w:t xml:space="preserve"> </w:t>
      </w:r>
      <w:r w:rsidRPr="006C4969">
        <w:t xml:space="preserve">for templates for all documents needed in </w:t>
      </w:r>
      <w:r w:rsidR="003E4527">
        <w:t xml:space="preserve">BPR </w:t>
      </w:r>
      <w:r>
        <w:t>NEA</w:t>
      </w:r>
      <w:r w:rsidRPr="006C4969">
        <w:t xml:space="preserve"> Administrator appointment.</w:t>
      </w:r>
    </w:p>
    <w:p w14:paraId="0CE8C8D9" w14:textId="77777777" w:rsidR="00242F40" w:rsidRPr="00094751" w:rsidRDefault="00242F40" w:rsidP="004F2390">
      <w:pPr>
        <w:pStyle w:val="Heading3"/>
        <w:jc w:val="both"/>
      </w:pPr>
      <w:r w:rsidRPr="006C4969">
        <w:t xml:space="preserve"> </w:t>
      </w:r>
      <w:r w:rsidRPr="00094751">
        <w:tab/>
        <w:t>The appointment decision</w:t>
      </w:r>
    </w:p>
    <w:p w14:paraId="596DD66A" w14:textId="3E6A2EFC" w:rsidR="00242F40" w:rsidRPr="006C4969" w:rsidRDefault="00242F40" w:rsidP="004F2390">
      <w:pPr>
        <w:pStyle w:val="BodyText"/>
        <w:jc w:val="both"/>
      </w:pPr>
      <w:r w:rsidRPr="006C4969">
        <w:t xml:space="preserve">The appointment of the </w:t>
      </w:r>
      <w:r w:rsidR="00EB61D7">
        <w:t xml:space="preserve">BPR </w:t>
      </w:r>
      <w:r>
        <w:t>NEA</w:t>
      </w:r>
      <w:r w:rsidRPr="006C4969">
        <w:t xml:space="preserve"> Administrator(s) must be signed by their superior in the relevant organisation. </w:t>
      </w:r>
    </w:p>
    <w:p w14:paraId="65C79971" w14:textId="11D51564" w:rsidR="00242F40" w:rsidRPr="00BA5BCC" w:rsidRDefault="00242F40" w:rsidP="004F2390">
      <w:pPr>
        <w:pStyle w:val="BodyText"/>
        <w:jc w:val="both"/>
      </w:pPr>
      <w:r w:rsidRPr="006C4969">
        <w:t xml:space="preserve">Please refer to </w:t>
      </w:r>
      <w:r w:rsidRPr="00E218F5">
        <w:t xml:space="preserve">Appendix </w:t>
      </w:r>
      <w:r w:rsidR="003D33F5">
        <w:t>2</w:t>
      </w:r>
      <w:r w:rsidRPr="00E218F5">
        <w:t>,</w:t>
      </w:r>
      <w:r>
        <w:t xml:space="preserve"> </w:t>
      </w:r>
      <w:r w:rsidRPr="006C4969">
        <w:t xml:space="preserve">“Template for nominating </w:t>
      </w:r>
      <w:r w:rsidR="00EB61D7">
        <w:t xml:space="preserve">BPR </w:t>
      </w:r>
      <w:r>
        <w:t>NEA</w:t>
      </w:r>
      <w:r w:rsidRPr="006C4969">
        <w:t xml:space="preserve"> Administrators and </w:t>
      </w:r>
      <w:r w:rsidR="003E4527">
        <w:t xml:space="preserve">BPR </w:t>
      </w:r>
      <w:r w:rsidRPr="006C4969">
        <w:t>end-user support points-of-contact” which contains a ready template for such appointment decision</w:t>
      </w:r>
      <w:r>
        <w:t>, with all information needed by ECHA</w:t>
      </w:r>
      <w:r w:rsidRPr="006C4969">
        <w:t xml:space="preserve">. </w:t>
      </w:r>
    </w:p>
    <w:p w14:paraId="35566456" w14:textId="77777777" w:rsidR="00242F40" w:rsidRPr="00BA5BCC" w:rsidRDefault="00242F40" w:rsidP="004F2390">
      <w:pPr>
        <w:pStyle w:val="Heading3"/>
        <w:jc w:val="both"/>
      </w:pPr>
      <w:r w:rsidRPr="00BA5BCC">
        <w:tab/>
        <w:t xml:space="preserve">Cover letter </w:t>
      </w:r>
    </w:p>
    <w:p w14:paraId="4E53FA61" w14:textId="14CE7ACB" w:rsidR="00242F40" w:rsidRPr="006C4969" w:rsidRDefault="00242F40" w:rsidP="004F2390">
      <w:pPr>
        <w:pStyle w:val="BodyText"/>
        <w:jc w:val="both"/>
      </w:pPr>
      <w:r w:rsidRPr="006C4969">
        <w:t xml:space="preserve">Since the role </w:t>
      </w:r>
      <w:r>
        <w:t xml:space="preserve">of NEA Administrator </w:t>
      </w:r>
      <w:r w:rsidRPr="006C4969">
        <w:t xml:space="preserve">requires </w:t>
      </w:r>
      <w:r>
        <w:t xml:space="preserve">some </w:t>
      </w:r>
      <w:r w:rsidRPr="006C4969">
        <w:t xml:space="preserve">IT expertise and will be serving the purposes of the enforcement authorities, the appointment must be solicited by the national member of the </w:t>
      </w:r>
      <w:r w:rsidR="00E92B50">
        <w:t xml:space="preserve">BPR Subgroup of the </w:t>
      </w:r>
      <w:r w:rsidRPr="006C4969">
        <w:t>Forum for Exchange of Information on Enforcement (</w:t>
      </w:r>
      <w:r w:rsidR="00E92B50">
        <w:t>BPRS</w:t>
      </w:r>
      <w:r w:rsidRPr="006C4969">
        <w:t>)</w:t>
      </w:r>
      <w:r>
        <w:t xml:space="preserve">, in consultation with the </w:t>
      </w:r>
      <w:r w:rsidRPr="006C4969">
        <w:t>member of the Security Officers Network (SON)</w:t>
      </w:r>
      <w:r>
        <w:t>. This ensures that all relevant stakeholders on the national level are aligned about the appointment of the administrator</w:t>
      </w:r>
      <w:r w:rsidRPr="006C4969">
        <w:t>.</w:t>
      </w:r>
    </w:p>
    <w:p w14:paraId="06B92B7E" w14:textId="77777777" w:rsidR="00242F40" w:rsidRPr="00094751" w:rsidRDefault="00242F40" w:rsidP="004F2390">
      <w:pPr>
        <w:pStyle w:val="Heading3"/>
        <w:jc w:val="both"/>
      </w:pPr>
      <w:r w:rsidRPr="00094751">
        <w:tab/>
      </w:r>
      <w:bookmarkStart w:id="17" w:name="_Ref363476374"/>
      <w:r w:rsidRPr="00094751">
        <w:t>Declaration of Confidentiality and Non-Disclosure</w:t>
      </w:r>
      <w:bookmarkEnd w:id="17"/>
    </w:p>
    <w:p w14:paraId="08C6227F" w14:textId="6399AADB" w:rsidR="00242F40" w:rsidRPr="006C4969" w:rsidRDefault="00242F40" w:rsidP="004F2390">
      <w:pPr>
        <w:pStyle w:val="BodyText"/>
        <w:jc w:val="both"/>
      </w:pPr>
      <w:r w:rsidRPr="006C4969">
        <w:t xml:space="preserve">The “Declaration of Confidentiality and Non-Disclosure for </w:t>
      </w:r>
      <w:r w:rsidR="003D33F5">
        <w:t xml:space="preserve">BPR </w:t>
      </w:r>
      <w:r>
        <w:t>NEA</w:t>
      </w:r>
      <w:r w:rsidRPr="006C4969">
        <w:t xml:space="preserve"> Administrators” must be signed by the nominated </w:t>
      </w:r>
      <w:r w:rsidR="003D33F5">
        <w:t xml:space="preserve">BPR </w:t>
      </w:r>
      <w:r>
        <w:t>NEA</w:t>
      </w:r>
      <w:r w:rsidRPr="006C4969">
        <w:t xml:space="preserve"> Administrator and his alternate and sent together with the appointment decision. </w:t>
      </w:r>
      <w:r>
        <w:t>See</w:t>
      </w:r>
      <w:r w:rsidR="0016203A">
        <w:t xml:space="preserve"> Appendix </w:t>
      </w:r>
      <w:r w:rsidR="003E4527">
        <w:t>4</w:t>
      </w:r>
      <w:r>
        <w:t>.</w:t>
      </w:r>
    </w:p>
    <w:p w14:paraId="34260B93" w14:textId="77777777" w:rsidR="00242F40" w:rsidRPr="00094751" w:rsidRDefault="00242F40" w:rsidP="004F2390">
      <w:pPr>
        <w:pStyle w:val="Heading3"/>
        <w:jc w:val="both"/>
      </w:pPr>
      <w:r w:rsidRPr="00094751">
        <w:tab/>
        <w:t>Sending the documents to ECHA</w:t>
      </w:r>
    </w:p>
    <w:p w14:paraId="14FE12A2" w14:textId="70D30EDB" w:rsidR="00242F40" w:rsidRDefault="005927B3" w:rsidP="004F2390">
      <w:pPr>
        <w:pStyle w:val="BodyText"/>
        <w:jc w:val="both"/>
        <w:rPr>
          <w:rFonts w:cs="Arial"/>
        </w:rPr>
      </w:pPr>
      <w:r>
        <w:rPr>
          <w:rFonts w:cs="Arial"/>
        </w:rPr>
        <w:t>The duly signed documents are to be scanned and sent</w:t>
      </w:r>
      <w:r w:rsidR="00645503">
        <w:rPr>
          <w:rFonts w:cs="Arial"/>
        </w:rPr>
        <w:t xml:space="preserve"> via the contact form </w:t>
      </w:r>
      <w:r w:rsidR="00645503">
        <w:rPr>
          <w:rFonts w:cs="Arial"/>
        </w:rPr>
        <w:lastRenderedPageBreak/>
        <w:t>(</w:t>
      </w:r>
      <w:hyperlink r:id="rId13" w:history="1">
        <w:r w:rsidR="0097276E" w:rsidRPr="00E04F19">
          <w:rPr>
            <w:rStyle w:val="Hyperlink"/>
          </w:rPr>
          <w:t>https://comments.echa.europa.eu/comments_cms/ContactFormAuthorities_Nominations.aspx</w:t>
        </w:r>
      </w:hyperlink>
      <w:r w:rsidR="0097276E">
        <w:t xml:space="preserve"> </w:t>
      </w:r>
      <w:r w:rsidR="00645503">
        <w:rPr>
          <w:rFonts w:cs="Arial"/>
        </w:rPr>
        <w:t xml:space="preserve"> - “</w:t>
      </w:r>
      <w:r w:rsidR="0097276E">
        <w:rPr>
          <w:rFonts w:cs="Arial"/>
        </w:rPr>
        <w:t>User administrator</w:t>
      </w:r>
      <w:r w:rsidR="00645503">
        <w:rPr>
          <w:rFonts w:cs="Arial"/>
        </w:rPr>
        <w:t>”)</w:t>
      </w:r>
      <w:r w:rsidR="00242F40" w:rsidRPr="00DE12A0">
        <w:rPr>
          <w:rFonts w:cs="Arial"/>
        </w:rPr>
        <w:t xml:space="preserve">. </w:t>
      </w:r>
    </w:p>
    <w:p w14:paraId="10FD5906" w14:textId="77777777" w:rsidR="001146EA" w:rsidRPr="006C4969" w:rsidRDefault="001146EA" w:rsidP="004F2390">
      <w:pPr>
        <w:pStyle w:val="BodyText"/>
        <w:jc w:val="both"/>
      </w:pPr>
    </w:p>
    <w:p w14:paraId="721D9868" w14:textId="6C80EFAA" w:rsidR="00242F40" w:rsidRPr="006C4969" w:rsidRDefault="00F1412A" w:rsidP="004F2390">
      <w:pPr>
        <w:pStyle w:val="Heading2"/>
        <w:jc w:val="both"/>
      </w:pPr>
      <w:r>
        <w:t xml:space="preserve">User </w:t>
      </w:r>
      <w:r w:rsidR="00242F40">
        <w:t>A</w:t>
      </w:r>
      <w:r w:rsidR="00242F40" w:rsidRPr="006C4969">
        <w:t>ccount for</w:t>
      </w:r>
      <w:r w:rsidR="00475B3A">
        <w:t xml:space="preserve"> BPR</w:t>
      </w:r>
      <w:r w:rsidR="00242F40" w:rsidRPr="006C4969">
        <w:t xml:space="preserve"> </w:t>
      </w:r>
      <w:r w:rsidR="00242F40">
        <w:t>NEA</w:t>
      </w:r>
      <w:r w:rsidR="00242F40" w:rsidRPr="006C4969">
        <w:t xml:space="preserve"> Administrator</w:t>
      </w:r>
    </w:p>
    <w:p w14:paraId="746CB986" w14:textId="35A7773F" w:rsidR="00242F40" w:rsidRDefault="0036182E" w:rsidP="004F2390">
      <w:pPr>
        <w:pStyle w:val="BodyText"/>
        <w:jc w:val="both"/>
      </w:pPr>
      <w:r>
        <w:t xml:space="preserve">The User Administrator needs to create an EU-login account, if not already having one.  </w:t>
      </w:r>
      <w:r w:rsidR="00242F40">
        <w:t>U</w:t>
      </w:r>
      <w:r w:rsidR="00242F40" w:rsidRPr="006C4969">
        <w:t>pon receiving the full appointment documentation</w:t>
      </w:r>
      <w:r w:rsidR="005974A9">
        <w:t>,</w:t>
      </w:r>
      <w:r w:rsidR="00242F40" w:rsidRPr="006C4969">
        <w:t xml:space="preserve"> </w:t>
      </w:r>
      <w:r>
        <w:t xml:space="preserve">ECHA will add the user administrator to the correct group (or invite him in case that it doesn’t have already an EU Login account) </w:t>
      </w:r>
      <w:proofErr w:type="gramStart"/>
      <w:r>
        <w:t>in order for</w:t>
      </w:r>
      <w:proofErr w:type="gramEnd"/>
      <w:r>
        <w:t xml:space="preserve"> the User Administrator to have the access to the ECHA Accounts Portal, </w:t>
      </w:r>
      <w:r w:rsidR="00242F40">
        <w:t xml:space="preserve">used for </w:t>
      </w:r>
      <w:r>
        <w:t xml:space="preserve">the </w:t>
      </w:r>
      <w:r w:rsidR="00242F40">
        <w:t xml:space="preserve">management of </w:t>
      </w:r>
      <w:r w:rsidR="00E92B50">
        <w:t>Interact BPR NEA</w:t>
      </w:r>
      <w:r w:rsidR="00242F40">
        <w:t xml:space="preserve"> users</w:t>
      </w:r>
      <w:r w:rsidR="00242F40" w:rsidRPr="006C4969">
        <w:t>.</w:t>
      </w:r>
      <w:r w:rsidR="00242F40">
        <w:t xml:space="preserve"> </w:t>
      </w:r>
    </w:p>
    <w:p w14:paraId="75C70ED5" w14:textId="46075B52" w:rsidR="0036182E" w:rsidRDefault="0036182E" w:rsidP="0036182E">
      <w:pPr>
        <w:pStyle w:val="BodyText"/>
        <w:jc w:val="both"/>
      </w:pPr>
      <w:r w:rsidRPr="0036182E">
        <w:t xml:space="preserve">For more information about the EU </w:t>
      </w:r>
      <w:proofErr w:type="gramStart"/>
      <w:r w:rsidRPr="0036182E">
        <w:t>Login</w:t>
      </w:r>
      <w:proofErr w:type="gramEnd"/>
      <w:r w:rsidRPr="0036182E">
        <w:t xml:space="preserve"> they can consult the user guide </w:t>
      </w:r>
      <w:hyperlink r:id="rId14" w:history="1">
        <w:r w:rsidRPr="0036182E">
          <w:rPr>
            <w:rStyle w:val="Hyperlink"/>
          </w:rPr>
          <w:t>https://webgate.ec.europa.eu/cas/manuals/EU_Login_Tutorial.pdf</w:t>
        </w:r>
      </w:hyperlink>
    </w:p>
    <w:p w14:paraId="3FD36D85" w14:textId="77777777" w:rsidR="001146EA" w:rsidRPr="0036182E" w:rsidRDefault="001146EA" w:rsidP="0036182E">
      <w:pPr>
        <w:pStyle w:val="BodyText"/>
        <w:jc w:val="both"/>
      </w:pPr>
    </w:p>
    <w:p w14:paraId="0A165187" w14:textId="77777777" w:rsidR="00242F40" w:rsidRPr="006C4969" w:rsidRDefault="00242F40" w:rsidP="004F2390">
      <w:pPr>
        <w:pStyle w:val="Heading2"/>
        <w:jc w:val="both"/>
      </w:pPr>
      <w:bookmarkStart w:id="18" w:name="_Toc364262408"/>
      <w:bookmarkStart w:id="19" w:name="_Toc365301988"/>
      <w:bookmarkStart w:id="20" w:name="_Toc368788689"/>
      <w:bookmarkStart w:id="21" w:name="_Toc370125681"/>
      <w:bookmarkStart w:id="22" w:name="_Toc370126486"/>
      <w:bookmarkStart w:id="23" w:name="_Toc370132263"/>
      <w:bookmarkStart w:id="24" w:name="_Toc370132520"/>
      <w:bookmarkStart w:id="25" w:name="_Toc379196932"/>
      <w:bookmarkStart w:id="26" w:name="_Toc379199250"/>
      <w:bookmarkEnd w:id="18"/>
      <w:bookmarkEnd w:id="19"/>
      <w:bookmarkEnd w:id="20"/>
      <w:bookmarkEnd w:id="21"/>
      <w:bookmarkEnd w:id="22"/>
      <w:bookmarkEnd w:id="23"/>
      <w:bookmarkEnd w:id="24"/>
      <w:r w:rsidRPr="006C4969">
        <w:t>Replacement</w:t>
      </w:r>
      <w:bookmarkEnd w:id="25"/>
      <w:bookmarkEnd w:id="26"/>
    </w:p>
    <w:p w14:paraId="2F8F7A0A" w14:textId="193C787D" w:rsidR="00242F40" w:rsidRPr="006C4969" w:rsidRDefault="00242F40" w:rsidP="004F2390">
      <w:pPr>
        <w:pStyle w:val="BodyText"/>
        <w:jc w:val="both"/>
      </w:pPr>
      <w:r w:rsidRPr="006C4969">
        <w:t>Replacement is a process whereby the Member State wishes to change the person who is acting as a</w:t>
      </w:r>
      <w:r w:rsidR="00EB61D7">
        <w:t xml:space="preserve"> BPR</w:t>
      </w:r>
      <w:r w:rsidRPr="006C4969">
        <w:t xml:space="preserve"> </w:t>
      </w:r>
      <w:r>
        <w:t>NEA</w:t>
      </w:r>
      <w:r w:rsidRPr="006C4969">
        <w:t xml:space="preserve"> Administrator for another one. In such</w:t>
      </w:r>
      <w:r w:rsidR="005974A9">
        <w:t xml:space="preserve"> a case,</w:t>
      </w:r>
      <w:r w:rsidRPr="006C4969">
        <w:t xml:space="preserve"> ECHA shall receive a new appointment according to the procedure described above. The new appointment shall clearly specify which administrator(s) is being replaced and from which date.</w:t>
      </w:r>
    </w:p>
    <w:p w14:paraId="58E2AE0B" w14:textId="7956EBBD" w:rsidR="00242F40" w:rsidRDefault="00242F40" w:rsidP="004F2390">
      <w:pPr>
        <w:pStyle w:val="BodyText"/>
        <w:jc w:val="both"/>
      </w:pPr>
      <w:r w:rsidRPr="003864A8">
        <w:t xml:space="preserve">On the date indicated in the new appointment, ECHA will disable the account of the old </w:t>
      </w:r>
      <w:r w:rsidR="002523D1" w:rsidRPr="003864A8">
        <w:t xml:space="preserve">BPR </w:t>
      </w:r>
      <w:r w:rsidRPr="003864A8">
        <w:t xml:space="preserve">NEA Administrator and </w:t>
      </w:r>
      <w:r w:rsidR="003864A8" w:rsidRPr="001146EA">
        <w:t>enable a new account</w:t>
      </w:r>
      <w:r w:rsidRPr="003864A8">
        <w:t xml:space="preserve"> to the new </w:t>
      </w:r>
      <w:r w:rsidR="002523D1" w:rsidRPr="003864A8">
        <w:t xml:space="preserve">BPR </w:t>
      </w:r>
      <w:r w:rsidRPr="003864A8">
        <w:t>NEA Administrator and send to the new administrator a basic set of instructions related to obtaining access (login etc.)</w:t>
      </w:r>
      <w:r w:rsidR="003864A8" w:rsidRPr="001146EA">
        <w:t xml:space="preserve"> and how to manage accounts</w:t>
      </w:r>
      <w:r w:rsidRPr="003864A8">
        <w:t>.</w:t>
      </w:r>
    </w:p>
    <w:p w14:paraId="57EC1252" w14:textId="77777777" w:rsidR="001146EA" w:rsidRPr="006C4969" w:rsidRDefault="001146EA" w:rsidP="004F2390">
      <w:pPr>
        <w:pStyle w:val="BodyText"/>
        <w:jc w:val="both"/>
        <w:rPr>
          <w:b/>
        </w:rPr>
      </w:pPr>
    </w:p>
    <w:p w14:paraId="0B3BD310" w14:textId="77777777" w:rsidR="00242F40" w:rsidRPr="00094751" w:rsidRDefault="00242F40" w:rsidP="004F2390">
      <w:pPr>
        <w:pStyle w:val="Heading2"/>
        <w:jc w:val="both"/>
      </w:pPr>
      <w:bookmarkStart w:id="27" w:name="_Toc379196933"/>
      <w:bookmarkStart w:id="28" w:name="_Toc379199251"/>
      <w:r w:rsidRPr="00094751">
        <w:t>Prolongation of current appointment</w:t>
      </w:r>
      <w:bookmarkEnd w:id="27"/>
      <w:bookmarkEnd w:id="28"/>
    </w:p>
    <w:p w14:paraId="14E4A142" w14:textId="3A7E04D6" w:rsidR="00242F40" w:rsidRPr="006C4969" w:rsidRDefault="00242F40" w:rsidP="004F2390">
      <w:pPr>
        <w:pStyle w:val="BodyText"/>
        <w:jc w:val="both"/>
      </w:pPr>
      <w:r w:rsidRPr="006C4969">
        <w:t xml:space="preserve">Prolongation of the current appointment is a process where the Member State does not wish to change the person who is the </w:t>
      </w:r>
      <w:r w:rsidR="002523D1">
        <w:t xml:space="preserve">BPR </w:t>
      </w:r>
      <w:r>
        <w:t>NEA</w:t>
      </w:r>
      <w:r w:rsidRPr="006C4969">
        <w:t xml:space="preserve"> Administrator but only wishes to extend the duration of appointment of the current administrator.</w:t>
      </w:r>
    </w:p>
    <w:p w14:paraId="220B27DC" w14:textId="36D92C68" w:rsidR="00242F40" w:rsidRPr="006C4969" w:rsidRDefault="00242F40" w:rsidP="004F2390">
      <w:pPr>
        <w:pStyle w:val="BodyText"/>
        <w:jc w:val="both"/>
      </w:pPr>
      <w:r w:rsidRPr="006C4969">
        <w:t>In such case</w:t>
      </w:r>
      <w:r w:rsidR="005974A9">
        <w:t>,</w:t>
      </w:r>
      <w:r w:rsidRPr="006C4969">
        <w:t xml:space="preserve"> </w:t>
      </w:r>
      <w:r>
        <w:t xml:space="preserve">the existing </w:t>
      </w:r>
      <w:r w:rsidR="002523D1">
        <w:t xml:space="preserve">BPR </w:t>
      </w:r>
      <w:r>
        <w:t>NEA</w:t>
      </w:r>
      <w:r w:rsidRPr="006C4969">
        <w:t xml:space="preserve"> Administrator should send to ECHA a new and updated decision from his authority</w:t>
      </w:r>
      <w:r>
        <w:t xml:space="preserve"> </w:t>
      </w:r>
      <w:r w:rsidRPr="00E218F5">
        <w:t xml:space="preserve">(Appendix </w:t>
      </w:r>
      <w:r w:rsidR="00242F26">
        <w:t>2</w:t>
      </w:r>
      <w:r w:rsidRPr="00E218F5">
        <w:t>),</w:t>
      </w:r>
      <w:r w:rsidRPr="006C4969">
        <w:t xml:space="preserve"> signed by a relevant superior. The prolongation decision should contain the same information as the appointment decision, </w:t>
      </w:r>
      <w:proofErr w:type="gramStart"/>
      <w:r w:rsidRPr="006C4969">
        <w:t>in particular</w:t>
      </w:r>
      <w:proofErr w:type="gramEnd"/>
      <w:r w:rsidRPr="006C4969">
        <w:t xml:space="preserve"> the new ending date of the appointment. Upon receiving the new appointment decision, ECHA will change the ending date of the account of the Administrator.</w:t>
      </w:r>
    </w:p>
    <w:p w14:paraId="2104F652" w14:textId="4E6BFDFE" w:rsidR="00242F40" w:rsidRDefault="00242F40" w:rsidP="004F2390">
      <w:pPr>
        <w:pStyle w:val="BodyText"/>
        <w:jc w:val="both"/>
      </w:pPr>
      <w:r w:rsidRPr="006C4969">
        <w:t xml:space="preserve">There is no need to send the cover letter from the </w:t>
      </w:r>
      <w:r w:rsidR="00242F26">
        <w:t>BPRS member</w:t>
      </w:r>
      <w:r w:rsidRPr="006C4969">
        <w:t xml:space="preserve"> and the declaration of confidentiality and </w:t>
      </w:r>
      <w:r w:rsidR="00D72CD3" w:rsidRPr="006C4969">
        <w:t>non-disclosure</w:t>
      </w:r>
      <w:r w:rsidRPr="006C4969">
        <w:t xml:space="preserve">, as they are deemed to </w:t>
      </w:r>
      <w:r>
        <w:t>remain</w:t>
      </w:r>
      <w:r w:rsidRPr="006C4969">
        <w:t xml:space="preserve"> valid. </w:t>
      </w:r>
    </w:p>
    <w:p w14:paraId="73C1A0C1" w14:textId="77777777" w:rsidR="001146EA" w:rsidRPr="006C4969" w:rsidRDefault="001146EA" w:rsidP="004F2390">
      <w:pPr>
        <w:pStyle w:val="BodyText"/>
        <w:jc w:val="both"/>
      </w:pPr>
    </w:p>
    <w:p w14:paraId="7E94FF03" w14:textId="77777777" w:rsidR="00242F40" w:rsidRPr="006C4969" w:rsidRDefault="00242F40" w:rsidP="004F2390">
      <w:pPr>
        <w:pStyle w:val="Heading2"/>
        <w:jc w:val="both"/>
      </w:pPr>
      <w:bookmarkStart w:id="29" w:name="_Toc379196938"/>
      <w:bookmarkStart w:id="30" w:name="_Toc379199256"/>
      <w:r w:rsidRPr="006C4969">
        <w:t>Roles managed</w:t>
      </w:r>
      <w:bookmarkEnd w:id="29"/>
      <w:bookmarkEnd w:id="30"/>
    </w:p>
    <w:p w14:paraId="116BD715" w14:textId="150ED290" w:rsidR="00242F40" w:rsidRDefault="00242F40" w:rsidP="004F2390">
      <w:pPr>
        <w:pStyle w:val="BodyText"/>
        <w:jc w:val="both"/>
      </w:pPr>
      <w:r w:rsidRPr="006C4969">
        <w:t xml:space="preserve">The </w:t>
      </w:r>
      <w:r w:rsidR="002523D1">
        <w:t xml:space="preserve">BPR </w:t>
      </w:r>
      <w:r>
        <w:t>NEA</w:t>
      </w:r>
      <w:r w:rsidRPr="006C4969">
        <w:t xml:space="preserve"> Administrators manage users with the following </w:t>
      </w:r>
      <w:r w:rsidR="00A8250A">
        <w:t xml:space="preserve">Interact BPR </w:t>
      </w:r>
      <w:r>
        <w:t>NEA</w:t>
      </w:r>
      <w:r w:rsidRPr="006C4969">
        <w:t xml:space="preserve"> roles:</w:t>
      </w:r>
    </w:p>
    <w:p w14:paraId="5509FF4D" w14:textId="77777777" w:rsidR="001146EA" w:rsidRPr="006C4969" w:rsidRDefault="001146EA" w:rsidP="004F2390">
      <w:pPr>
        <w:pStyle w:val="BodyText"/>
        <w:jc w:val="both"/>
      </w:pPr>
    </w:p>
    <w:p w14:paraId="71270928" w14:textId="7B3D065E" w:rsidR="00242F40" w:rsidRPr="006C4969" w:rsidRDefault="00A8250A" w:rsidP="004F2390">
      <w:pPr>
        <w:pStyle w:val="TableBody9pt-usermanual"/>
      </w:pPr>
      <w:bookmarkStart w:id="31" w:name="_Toc379199596"/>
      <w:r>
        <w:t>Interact BPR NEA</w:t>
      </w:r>
      <w:r w:rsidR="00242F40" w:rsidRPr="006C4969">
        <w:t xml:space="preserve"> Users managed by </w:t>
      </w:r>
      <w:r w:rsidR="00242F40">
        <w:t>NEA</w:t>
      </w:r>
      <w:r w:rsidR="00242F40" w:rsidRPr="006C4969">
        <w:t xml:space="preserve"> Administrator</w:t>
      </w:r>
      <w:bookmarkEnd w:id="31"/>
    </w:p>
    <w:p w14:paraId="01973D25" w14:textId="77777777" w:rsidR="00242F40" w:rsidRPr="006C4969" w:rsidRDefault="00242F40" w:rsidP="004F2390">
      <w:pPr>
        <w:jc w:val="both"/>
        <w:rPr>
          <w:lang w:eastAsia="fr-FR"/>
        </w:rPr>
      </w:pPr>
    </w:p>
    <w:tbl>
      <w:tblPr>
        <w:tblW w:w="0" w:type="auto"/>
        <w:tblCellSpacing w:w="20" w:type="dxa"/>
        <w:tblInd w:w="125" w:type="dxa"/>
        <w:tblBorders>
          <w:insideH w:val="single" w:sz="8" w:space="0" w:color="0046AD"/>
          <w:insideV w:val="single" w:sz="8" w:space="0" w:color="0046AD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442"/>
        <w:gridCol w:w="5245"/>
      </w:tblGrid>
      <w:tr w:rsidR="00242F40" w:rsidRPr="006C4969" w14:paraId="7B0B51D1" w14:textId="77777777" w:rsidTr="00C76127">
        <w:trPr>
          <w:trHeight w:val="113"/>
          <w:tblCellSpacing w:w="20" w:type="dxa"/>
        </w:trPr>
        <w:tc>
          <w:tcPr>
            <w:tcW w:w="3382" w:type="dxa"/>
            <w:shd w:val="clear" w:color="auto" w:fill="D7EFFA"/>
          </w:tcPr>
          <w:p w14:paraId="2211606D" w14:textId="0DA19CEC" w:rsidR="00242F40" w:rsidRPr="00BA5BCC" w:rsidRDefault="00A8250A" w:rsidP="004F2390">
            <w:pPr>
              <w:pStyle w:val="BodyText"/>
              <w:jc w:val="both"/>
              <w:rPr>
                <w:b/>
              </w:rPr>
            </w:pPr>
            <w:r>
              <w:rPr>
                <w:b/>
              </w:rPr>
              <w:lastRenderedPageBreak/>
              <w:t>Inte</w:t>
            </w:r>
            <w:r w:rsidR="00333BCC">
              <w:rPr>
                <w:b/>
              </w:rPr>
              <w:t>r</w:t>
            </w:r>
            <w:r>
              <w:rPr>
                <w:b/>
              </w:rPr>
              <w:t>act BPR NEA</w:t>
            </w:r>
            <w:r w:rsidR="00242F40">
              <w:rPr>
                <w:b/>
              </w:rPr>
              <w:t xml:space="preserve"> </w:t>
            </w:r>
            <w:r w:rsidR="00242F40" w:rsidRPr="006C4969">
              <w:rPr>
                <w:b/>
              </w:rPr>
              <w:t>User role</w:t>
            </w:r>
          </w:p>
        </w:tc>
        <w:tc>
          <w:tcPr>
            <w:tcW w:w="5185" w:type="dxa"/>
            <w:shd w:val="clear" w:color="auto" w:fill="D7EFFA"/>
          </w:tcPr>
          <w:p w14:paraId="0FAD00FB" w14:textId="77777777" w:rsidR="00242F40" w:rsidRPr="006C4969" w:rsidRDefault="00242F40" w:rsidP="004F2390">
            <w:pPr>
              <w:pStyle w:val="BodyText"/>
              <w:jc w:val="both"/>
              <w:rPr>
                <w:b/>
              </w:rPr>
            </w:pPr>
            <w:r w:rsidRPr="006C4969">
              <w:rPr>
                <w:b/>
              </w:rPr>
              <w:t>Estimated number</w:t>
            </w:r>
          </w:p>
        </w:tc>
      </w:tr>
      <w:tr w:rsidR="00242F40" w:rsidRPr="006C4969" w14:paraId="6ED5220D" w14:textId="77777777" w:rsidTr="00C76127">
        <w:trPr>
          <w:trHeight w:val="113"/>
          <w:tblCellSpacing w:w="20" w:type="dxa"/>
        </w:trPr>
        <w:tc>
          <w:tcPr>
            <w:tcW w:w="3382" w:type="dxa"/>
            <w:shd w:val="clear" w:color="auto" w:fill="auto"/>
          </w:tcPr>
          <w:p w14:paraId="7C4EC30F" w14:textId="20D9F7C8" w:rsidR="00242F40" w:rsidRPr="00025D1A" w:rsidRDefault="002523D1" w:rsidP="002523D1">
            <w:pPr>
              <w:pStyle w:val="BodyText"/>
              <w:jc w:val="both"/>
            </w:pPr>
            <w:r>
              <w:t xml:space="preserve">BPR </w:t>
            </w:r>
            <w:r w:rsidR="00242F40">
              <w:t>NEA</w:t>
            </w:r>
            <w:r>
              <w:t xml:space="preserve"> </w:t>
            </w:r>
            <w:r w:rsidR="00242F40" w:rsidRPr="00025D1A">
              <w:t>Inspector</w:t>
            </w:r>
          </w:p>
        </w:tc>
        <w:tc>
          <w:tcPr>
            <w:tcW w:w="5185" w:type="dxa"/>
            <w:shd w:val="clear" w:color="auto" w:fill="auto"/>
          </w:tcPr>
          <w:p w14:paraId="749E0FE8" w14:textId="77777777" w:rsidR="00242F40" w:rsidRPr="00BA5BCC" w:rsidRDefault="00242F40" w:rsidP="004F2390">
            <w:pPr>
              <w:pStyle w:val="BodyText"/>
              <w:jc w:val="both"/>
            </w:pPr>
            <w:r w:rsidRPr="00025D1A">
              <w:t xml:space="preserve">1 to 300 per Member State </w:t>
            </w:r>
          </w:p>
        </w:tc>
      </w:tr>
      <w:tr w:rsidR="00242F40" w:rsidRPr="006C4969" w14:paraId="5DEBE0CB" w14:textId="77777777" w:rsidTr="00D72CD3">
        <w:trPr>
          <w:trHeight w:val="306"/>
          <w:tblCellSpacing w:w="20" w:type="dxa"/>
        </w:trPr>
        <w:tc>
          <w:tcPr>
            <w:tcW w:w="3382" w:type="dxa"/>
            <w:shd w:val="clear" w:color="auto" w:fill="auto"/>
          </w:tcPr>
          <w:p w14:paraId="018846C9" w14:textId="134BBC37" w:rsidR="00242F40" w:rsidRPr="00BA5BCC" w:rsidRDefault="002523D1" w:rsidP="004F2390">
            <w:pPr>
              <w:pStyle w:val="BodyText"/>
              <w:jc w:val="both"/>
            </w:pPr>
            <w:r>
              <w:t xml:space="preserve">BPR </w:t>
            </w:r>
            <w:r w:rsidR="00242F40">
              <w:t>NEA</w:t>
            </w:r>
            <w:r w:rsidR="00242F40" w:rsidRPr="00025D1A">
              <w:t xml:space="preserve"> Auditor</w:t>
            </w:r>
          </w:p>
        </w:tc>
        <w:tc>
          <w:tcPr>
            <w:tcW w:w="5185" w:type="dxa"/>
            <w:shd w:val="clear" w:color="auto" w:fill="auto"/>
          </w:tcPr>
          <w:p w14:paraId="64103C73" w14:textId="77777777" w:rsidR="00242F40" w:rsidRPr="00BA5BCC" w:rsidRDefault="00242F40" w:rsidP="004F2390">
            <w:pPr>
              <w:pStyle w:val="BodyText"/>
              <w:jc w:val="both"/>
            </w:pPr>
            <w:r w:rsidRPr="00025D1A">
              <w:t xml:space="preserve">1 per Member State </w:t>
            </w:r>
          </w:p>
        </w:tc>
      </w:tr>
      <w:tr w:rsidR="00242F40" w:rsidRPr="006C4969" w14:paraId="1513EABB" w14:textId="77777777" w:rsidTr="00C76127">
        <w:trPr>
          <w:trHeight w:val="113"/>
          <w:tblCellSpacing w:w="20" w:type="dxa"/>
        </w:trPr>
        <w:tc>
          <w:tcPr>
            <w:tcW w:w="3382" w:type="dxa"/>
            <w:shd w:val="clear" w:color="auto" w:fill="auto"/>
          </w:tcPr>
          <w:p w14:paraId="3D1BA8F5" w14:textId="50450D22" w:rsidR="00242F40" w:rsidRPr="00BA5BCC" w:rsidRDefault="002523D1" w:rsidP="004F2390">
            <w:pPr>
              <w:pStyle w:val="BodyText"/>
              <w:jc w:val="both"/>
            </w:pPr>
            <w:r>
              <w:t xml:space="preserve">BPR </w:t>
            </w:r>
            <w:r w:rsidR="00242F40" w:rsidRPr="00025D1A">
              <w:t>MS</w:t>
            </w:r>
            <w:r w:rsidR="00242F40">
              <w:t xml:space="preserve"> </w:t>
            </w:r>
            <w:r w:rsidR="00242F40" w:rsidRPr="00025D1A">
              <w:t>Focal Point</w:t>
            </w:r>
          </w:p>
        </w:tc>
        <w:tc>
          <w:tcPr>
            <w:tcW w:w="5185" w:type="dxa"/>
            <w:shd w:val="clear" w:color="auto" w:fill="auto"/>
          </w:tcPr>
          <w:p w14:paraId="692D9758" w14:textId="77777777" w:rsidR="00242F40" w:rsidRPr="00BA5BCC" w:rsidRDefault="00242F40" w:rsidP="004F2390">
            <w:pPr>
              <w:pStyle w:val="BodyText"/>
              <w:jc w:val="both"/>
            </w:pPr>
            <w:r w:rsidRPr="00025D1A">
              <w:t xml:space="preserve">1-4 per Member State </w:t>
            </w:r>
          </w:p>
        </w:tc>
      </w:tr>
    </w:tbl>
    <w:p w14:paraId="50BD1839" w14:textId="77777777" w:rsidR="00242F40" w:rsidRDefault="00242F40" w:rsidP="004F2390">
      <w:pPr>
        <w:pStyle w:val="BodyText"/>
        <w:jc w:val="both"/>
      </w:pPr>
    </w:p>
    <w:p w14:paraId="01572A56" w14:textId="77777777" w:rsidR="00242F40" w:rsidRDefault="00242F40" w:rsidP="004F2390">
      <w:pPr>
        <w:widowControl/>
        <w:jc w:val="both"/>
      </w:pPr>
      <w:r>
        <w:br w:type="page"/>
      </w:r>
    </w:p>
    <w:p w14:paraId="7E5D6EAD" w14:textId="61E43A4D" w:rsidR="00242F40" w:rsidRPr="006C4969" w:rsidRDefault="00475B3A" w:rsidP="004F2390">
      <w:pPr>
        <w:pStyle w:val="Heading1"/>
        <w:jc w:val="both"/>
      </w:pPr>
      <w:bookmarkStart w:id="32" w:name="_Ref315792149"/>
      <w:bookmarkStart w:id="33" w:name="_Ref315792377"/>
      <w:bookmarkStart w:id="34" w:name="_Toc363124707"/>
      <w:bookmarkStart w:id="35" w:name="_Ref363464531"/>
      <w:bookmarkStart w:id="36" w:name="_Toc379196939"/>
      <w:bookmarkStart w:id="37" w:name="_Toc379199257"/>
      <w:r>
        <w:lastRenderedPageBreak/>
        <w:t xml:space="preserve">BPR </w:t>
      </w:r>
      <w:r w:rsidR="00242F40">
        <w:t>NEA</w:t>
      </w:r>
      <w:r w:rsidR="00242F40" w:rsidRPr="006C4969">
        <w:t xml:space="preserve"> End User Support Single Point of Contact</w:t>
      </w:r>
      <w:bookmarkEnd w:id="32"/>
      <w:bookmarkEnd w:id="33"/>
      <w:bookmarkEnd w:id="34"/>
      <w:r w:rsidR="00242F40" w:rsidRPr="006C4969">
        <w:t xml:space="preserve"> (SPOC)</w:t>
      </w:r>
      <w:bookmarkEnd w:id="35"/>
      <w:bookmarkEnd w:id="36"/>
      <w:bookmarkEnd w:id="37"/>
    </w:p>
    <w:p w14:paraId="616BDB25" w14:textId="77777777" w:rsidR="00242F40" w:rsidRPr="006C4969" w:rsidRDefault="00242F40" w:rsidP="004F2390">
      <w:pPr>
        <w:pStyle w:val="BodyText"/>
        <w:jc w:val="both"/>
      </w:pPr>
    </w:p>
    <w:p w14:paraId="01C2F914" w14:textId="77777777" w:rsidR="00242F40" w:rsidRPr="006C4969" w:rsidRDefault="00242F40" w:rsidP="004F2390">
      <w:pPr>
        <w:pStyle w:val="Heading2"/>
        <w:jc w:val="both"/>
      </w:pPr>
      <w:bookmarkStart w:id="38" w:name="_Toc379196940"/>
      <w:bookmarkStart w:id="39" w:name="_Toc379199258"/>
      <w:r w:rsidRPr="006C4969">
        <w:t>Number of SPOCs</w:t>
      </w:r>
      <w:bookmarkEnd w:id="38"/>
      <w:bookmarkEnd w:id="39"/>
    </w:p>
    <w:p w14:paraId="2FDA378D" w14:textId="77777777" w:rsidR="00242F40" w:rsidRPr="006C4969" w:rsidRDefault="00242F40" w:rsidP="004F2390">
      <w:pPr>
        <w:jc w:val="both"/>
      </w:pPr>
    </w:p>
    <w:p w14:paraId="6191FA68" w14:textId="24C145B5" w:rsidR="00242F40" w:rsidRPr="006C4969" w:rsidRDefault="00242F40" w:rsidP="004F2390">
      <w:pPr>
        <w:pStyle w:val="BodyText"/>
        <w:jc w:val="both"/>
      </w:pPr>
      <w:r w:rsidRPr="006C4969">
        <w:t xml:space="preserve">There should be only one </w:t>
      </w:r>
      <w:r w:rsidR="00475B3A">
        <w:t xml:space="preserve">BPR </w:t>
      </w:r>
      <w:r>
        <w:t>NEA</w:t>
      </w:r>
      <w:r w:rsidRPr="006C4969">
        <w:t xml:space="preserve"> End-User Support Single Point of Contact (SPOC) per Member State. That person should have the most up to date knowledge on the functionalities of </w:t>
      </w:r>
      <w:r w:rsidR="00A8250A">
        <w:t>Interact BPR NEA</w:t>
      </w:r>
      <w:r w:rsidRPr="006C4969">
        <w:t xml:space="preserve">. </w:t>
      </w:r>
    </w:p>
    <w:p w14:paraId="384064FD" w14:textId="77777777" w:rsidR="00242F40" w:rsidRPr="006C4969" w:rsidRDefault="00242F40" w:rsidP="004F2390">
      <w:pPr>
        <w:pStyle w:val="Heading2"/>
        <w:jc w:val="both"/>
      </w:pPr>
      <w:bookmarkStart w:id="40" w:name="_Toc379196941"/>
      <w:bookmarkStart w:id="41" w:name="_Toc379199259"/>
      <w:r w:rsidRPr="006C4969">
        <w:t>Institutional location</w:t>
      </w:r>
      <w:bookmarkEnd w:id="40"/>
      <w:bookmarkEnd w:id="41"/>
    </w:p>
    <w:p w14:paraId="532EB21B" w14:textId="202322AF" w:rsidR="00242F40" w:rsidRPr="006C4969" w:rsidRDefault="00242F40" w:rsidP="004F2390">
      <w:pPr>
        <w:pStyle w:val="BodyText"/>
        <w:jc w:val="both"/>
      </w:pPr>
      <w:r w:rsidRPr="006C4969">
        <w:t xml:space="preserve">Member States are free to select the institution in which the </w:t>
      </w:r>
      <w:r w:rsidR="002523D1">
        <w:t xml:space="preserve">BPR </w:t>
      </w:r>
      <w:r w:rsidRPr="006C4969">
        <w:t xml:space="preserve">SPOC is located. Since no special connection to ECHA is needed to provide end-user support, the SPOC does not need to </w:t>
      </w:r>
      <w:proofErr w:type="gramStart"/>
      <w:r w:rsidRPr="006C4969">
        <w:t>be located in</w:t>
      </w:r>
      <w:proofErr w:type="gramEnd"/>
      <w:r w:rsidRPr="006C4969">
        <w:t xml:space="preserve"> the same institution as the </w:t>
      </w:r>
      <w:r w:rsidR="002523D1">
        <w:t xml:space="preserve">BPR </w:t>
      </w:r>
      <w:r>
        <w:t>NEA</w:t>
      </w:r>
      <w:r w:rsidRPr="006C4969">
        <w:t xml:space="preserve"> Administrators.</w:t>
      </w:r>
    </w:p>
    <w:p w14:paraId="41739B69" w14:textId="77777777" w:rsidR="00242F40" w:rsidRPr="006C4969" w:rsidRDefault="00242F40" w:rsidP="004F2390">
      <w:pPr>
        <w:pStyle w:val="Heading2"/>
        <w:jc w:val="both"/>
      </w:pPr>
      <w:bookmarkStart w:id="42" w:name="_Ref315792240"/>
      <w:bookmarkStart w:id="43" w:name="_Toc379196942"/>
      <w:bookmarkStart w:id="44" w:name="_Toc379199260"/>
      <w:r w:rsidRPr="006C4969">
        <w:t xml:space="preserve">Role and tasks of the </w:t>
      </w:r>
      <w:bookmarkEnd w:id="42"/>
      <w:r w:rsidRPr="006C4969">
        <w:t>SPOC</w:t>
      </w:r>
      <w:bookmarkEnd w:id="43"/>
      <w:bookmarkEnd w:id="44"/>
    </w:p>
    <w:p w14:paraId="16A6D50C" w14:textId="693D45DB" w:rsidR="00242F40" w:rsidRPr="006C4969" w:rsidRDefault="00242F40" w:rsidP="004F2390">
      <w:pPr>
        <w:pStyle w:val="BodyText"/>
        <w:jc w:val="both"/>
      </w:pPr>
      <w:r w:rsidRPr="006C4969">
        <w:t xml:space="preserve">The SPOC shall provide content related support to </w:t>
      </w:r>
      <w:r w:rsidR="002523D1">
        <w:t xml:space="preserve">BPR </w:t>
      </w:r>
      <w:r>
        <w:t xml:space="preserve">NEA </w:t>
      </w:r>
      <w:r w:rsidRPr="006C4969">
        <w:t xml:space="preserve">users </w:t>
      </w:r>
      <w:r w:rsidR="005D26D9">
        <w:t>o</w:t>
      </w:r>
      <w:r>
        <w:t xml:space="preserve">f </w:t>
      </w:r>
      <w:r w:rsidR="00A8250A">
        <w:t xml:space="preserve">Interact BPR NEA </w:t>
      </w:r>
      <w:r w:rsidRPr="006C4969">
        <w:t>on a national level. This shall include:</w:t>
      </w:r>
    </w:p>
    <w:p w14:paraId="1947E9AE" w14:textId="41433896" w:rsidR="00242F40" w:rsidRPr="006C4969" w:rsidRDefault="00242F40" w:rsidP="004F2390">
      <w:pPr>
        <w:pStyle w:val="BodyText"/>
        <w:ind w:left="1134" w:hanging="567"/>
        <w:jc w:val="both"/>
      </w:pPr>
      <w:r w:rsidRPr="006C4969">
        <w:t>a)</w:t>
      </w:r>
      <w:r w:rsidRPr="006C4969">
        <w:tab/>
        <w:t xml:space="preserve">training of national </w:t>
      </w:r>
      <w:r w:rsidR="00A8250A">
        <w:t>Interact BPR</w:t>
      </w:r>
      <w:r>
        <w:t xml:space="preserve"> NEA</w:t>
      </w:r>
      <w:r w:rsidRPr="006C4969">
        <w:t xml:space="preserve"> users</w:t>
      </w:r>
    </w:p>
    <w:p w14:paraId="76DC7427" w14:textId="1EAF6F1A" w:rsidR="00242F40" w:rsidRPr="006C4969" w:rsidRDefault="00242F40" w:rsidP="004F2390">
      <w:pPr>
        <w:pStyle w:val="BodyText"/>
        <w:ind w:left="1134" w:hanging="567"/>
        <w:jc w:val="both"/>
      </w:pPr>
      <w:r w:rsidRPr="006C4969">
        <w:t>b)</w:t>
      </w:r>
      <w:r w:rsidRPr="006C4969">
        <w:tab/>
        <w:t xml:space="preserve">answering questions from </w:t>
      </w:r>
      <w:r w:rsidR="00A8250A">
        <w:t>Interact BPR</w:t>
      </w:r>
      <w:r>
        <w:t xml:space="preserve"> NEA</w:t>
      </w:r>
      <w:r w:rsidRPr="006C4969">
        <w:t xml:space="preserve"> users related to the system</w:t>
      </w:r>
      <w:r w:rsidR="00A8250A">
        <w:t>’</w:t>
      </w:r>
      <w:r w:rsidRPr="006C4969">
        <w:t>s</w:t>
      </w:r>
      <w:r w:rsidR="00A8250A">
        <w:t xml:space="preserve"> functionalities and its</w:t>
      </w:r>
      <w:r w:rsidRPr="006C4969">
        <w:t xml:space="preserve"> use</w:t>
      </w:r>
    </w:p>
    <w:p w14:paraId="0260E200" w14:textId="673CBBB7" w:rsidR="00242F40" w:rsidRPr="006C4969" w:rsidRDefault="00242F40" w:rsidP="004F2390">
      <w:pPr>
        <w:pStyle w:val="BodyText"/>
        <w:jc w:val="both"/>
      </w:pPr>
      <w:r w:rsidRPr="006C4969">
        <w:t xml:space="preserve">The SPOC shall have the </w:t>
      </w:r>
      <w:r w:rsidR="00A8250A">
        <w:t xml:space="preserve">Interact BPR </w:t>
      </w:r>
      <w:r>
        <w:t>NEA</w:t>
      </w:r>
      <w:r w:rsidRPr="006C4969">
        <w:t xml:space="preserve"> account with an </w:t>
      </w:r>
      <w:r w:rsidR="005D26D9">
        <w:t>“</w:t>
      </w:r>
      <w:r w:rsidR="00997F05">
        <w:t xml:space="preserve">BPR </w:t>
      </w:r>
      <w:r>
        <w:t xml:space="preserve">NEA </w:t>
      </w:r>
      <w:r w:rsidRPr="006C4969">
        <w:t>Inspector</w:t>
      </w:r>
      <w:r w:rsidR="005D26D9">
        <w:t>"</w:t>
      </w:r>
      <w:r w:rsidRPr="006C4969">
        <w:t xml:space="preserve"> role.</w:t>
      </w:r>
    </w:p>
    <w:p w14:paraId="59CAC7C8" w14:textId="77777777" w:rsidR="00242F40" w:rsidRPr="006C4969" w:rsidRDefault="00242F40" w:rsidP="004F2390">
      <w:pPr>
        <w:jc w:val="both"/>
      </w:pPr>
    </w:p>
    <w:p w14:paraId="535F1CD3" w14:textId="77777777" w:rsidR="00242F40" w:rsidRPr="006C4969" w:rsidRDefault="00242F40" w:rsidP="004F2390">
      <w:pPr>
        <w:pStyle w:val="Heading2"/>
        <w:jc w:val="both"/>
      </w:pPr>
      <w:bookmarkStart w:id="45" w:name="_Ref315793788"/>
      <w:bookmarkStart w:id="46" w:name="_Toc379196943"/>
      <w:bookmarkStart w:id="47" w:name="_Toc379199261"/>
      <w:r w:rsidRPr="006C4969">
        <w:t>Appointment</w:t>
      </w:r>
      <w:bookmarkEnd w:id="45"/>
      <w:bookmarkEnd w:id="46"/>
      <w:bookmarkEnd w:id="47"/>
    </w:p>
    <w:p w14:paraId="240337DF" w14:textId="67A955BF" w:rsidR="00242F40" w:rsidRPr="006C4969" w:rsidRDefault="00242F40" w:rsidP="004F2390">
      <w:pPr>
        <w:pStyle w:val="BodyText"/>
        <w:jc w:val="both"/>
      </w:pPr>
      <w:r w:rsidRPr="006C4969">
        <w:t xml:space="preserve">The appointment of the </w:t>
      </w:r>
      <w:r w:rsidR="002523D1">
        <w:t xml:space="preserve">BPR </w:t>
      </w:r>
      <w:r>
        <w:t>SPOC</w:t>
      </w:r>
      <w:r w:rsidRPr="006C4969">
        <w:t xml:space="preserve"> </w:t>
      </w:r>
      <w:r>
        <w:t xml:space="preserve">requires that a </w:t>
      </w:r>
      <w:r w:rsidRPr="006C4969">
        <w:t>formal decision</w:t>
      </w:r>
      <w:r>
        <w:t xml:space="preserve"> </w:t>
      </w:r>
      <w:r w:rsidRPr="006C4969">
        <w:t xml:space="preserve">on who is to be the </w:t>
      </w:r>
      <w:r>
        <w:t>SPOC</w:t>
      </w:r>
      <w:r w:rsidR="00E91862">
        <w:t xml:space="preserve"> </w:t>
      </w:r>
      <w:r w:rsidRPr="006C4969">
        <w:t xml:space="preserve">is </w:t>
      </w:r>
      <w:r>
        <w:t xml:space="preserve">taken </w:t>
      </w:r>
      <w:r w:rsidRPr="006C4969">
        <w:t>at a national level</w:t>
      </w:r>
      <w:r>
        <w:t xml:space="preserve">, in consultation with </w:t>
      </w:r>
      <w:r w:rsidR="002523D1">
        <w:t xml:space="preserve">the </w:t>
      </w:r>
      <w:r>
        <w:t xml:space="preserve">SON member. The appointment is then made </w:t>
      </w:r>
      <w:r w:rsidRPr="006C4969">
        <w:t xml:space="preserve">sending </w:t>
      </w:r>
      <w:r>
        <w:t>two</w:t>
      </w:r>
      <w:r w:rsidRPr="006C4969">
        <w:t xml:space="preserve"> documents to ECHA:</w:t>
      </w:r>
    </w:p>
    <w:p w14:paraId="2A8331B1" w14:textId="77777777" w:rsidR="00242F40" w:rsidRPr="006C4969" w:rsidRDefault="00242F40" w:rsidP="004F239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C4969">
        <w:t xml:space="preserve">The actual appointment decision from the appointing institution </w:t>
      </w:r>
    </w:p>
    <w:p w14:paraId="06162F51" w14:textId="65036C9A" w:rsidR="00242F40" w:rsidRPr="006C4969" w:rsidRDefault="00242F40" w:rsidP="004F239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C4969">
        <w:t xml:space="preserve">The cover letter signed by the member of the </w:t>
      </w:r>
      <w:r w:rsidR="00A8250A">
        <w:t>BPRS</w:t>
      </w:r>
      <w:r w:rsidR="00D43BED">
        <w:t>; the Member of the SON of the MS needs to be informed</w:t>
      </w:r>
      <w:r w:rsidR="00A8250A">
        <w:t>.</w:t>
      </w:r>
    </w:p>
    <w:p w14:paraId="1C21EC01" w14:textId="3716D297" w:rsidR="00242F40" w:rsidRPr="006C4969" w:rsidRDefault="00242F40" w:rsidP="004F2390">
      <w:pPr>
        <w:pStyle w:val="BodyText"/>
        <w:jc w:val="both"/>
      </w:pPr>
      <w:r w:rsidRPr="006C4969">
        <w:t>Please refer to</w:t>
      </w:r>
      <w:r w:rsidR="0016203A">
        <w:t xml:space="preserve"> Appendices </w:t>
      </w:r>
      <w:r w:rsidR="002523D1">
        <w:t>2</w:t>
      </w:r>
      <w:r>
        <w:t>-</w:t>
      </w:r>
      <w:r w:rsidR="002523D1">
        <w:t>3</w:t>
      </w:r>
      <w:r w:rsidRPr="006C4969">
        <w:t xml:space="preserve"> for templates for all documents needed in </w:t>
      </w:r>
      <w:r w:rsidR="00981ECC">
        <w:t xml:space="preserve">BPR </w:t>
      </w:r>
      <w:r>
        <w:t>SPOC</w:t>
      </w:r>
      <w:r w:rsidRPr="006C4969">
        <w:t xml:space="preserve"> appointment</w:t>
      </w:r>
      <w:r w:rsidR="00981ECC">
        <w:t>.</w:t>
      </w:r>
    </w:p>
    <w:p w14:paraId="5C6790F8" w14:textId="77777777" w:rsidR="00242F40" w:rsidRPr="00094751" w:rsidRDefault="00242F40" w:rsidP="004F2390">
      <w:pPr>
        <w:pStyle w:val="Heading3"/>
        <w:jc w:val="both"/>
      </w:pPr>
      <w:r w:rsidRPr="00094751">
        <w:tab/>
        <w:t xml:space="preserve">The appointment decision </w:t>
      </w:r>
    </w:p>
    <w:p w14:paraId="0C315330" w14:textId="45FBEAFA" w:rsidR="00242F40" w:rsidRPr="006C4969" w:rsidRDefault="00242F40" w:rsidP="004F2390">
      <w:pPr>
        <w:pStyle w:val="BodyText"/>
        <w:jc w:val="both"/>
      </w:pPr>
      <w:r w:rsidRPr="006C4969">
        <w:t>When deciding who is to become a</w:t>
      </w:r>
      <w:r w:rsidR="002523D1">
        <w:t xml:space="preserve"> BPR</w:t>
      </w:r>
      <w:r w:rsidRPr="006C4969">
        <w:t xml:space="preserve"> SPOC the national authorities should consider that the SPOC should hav</w:t>
      </w:r>
      <w:r>
        <w:t xml:space="preserve">e a good understanding of </w:t>
      </w:r>
      <w:r w:rsidR="00A8250A">
        <w:t>BPR</w:t>
      </w:r>
      <w:r>
        <w:t xml:space="preserve"> </w:t>
      </w:r>
      <w:r w:rsidRPr="006C4969">
        <w:t xml:space="preserve">enforcement and a thorough understanding of </w:t>
      </w:r>
      <w:r w:rsidR="00A8250A">
        <w:t xml:space="preserve">Interact BPR NEA </w:t>
      </w:r>
      <w:r w:rsidRPr="006C4969">
        <w:t>functionalities as they are expected to answer questions related to the use of</w:t>
      </w:r>
      <w:r w:rsidR="008E2259">
        <w:t xml:space="preserve"> </w:t>
      </w:r>
      <w:r w:rsidR="00A8250A">
        <w:t>Interact BPR NEA</w:t>
      </w:r>
      <w:r w:rsidRPr="006C4969">
        <w:t xml:space="preserve"> for enforcement purposes. ECHA will provide training on </w:t>
      </w:r>
      <w:r w:rsidR="00A8250A">
        <w:t xml:space="preserve">Interact BPR NEA </w:t>
      </w:r>
      <w:r w:rsidRPr="006C4969">
        <w:t>for the SPOC</w:t>
      </w:r>
      <w:r>
        <w:t>s</w:t>
      </w:r>
      <w:r w:rsidRPr="006C4969">
        <w:t>.</w:t>
      </w:r>
    </w:p>
    <w:p w14:paraId="5B510ACA" w14:textId="47C2B876" w:rsidR="00242F40" w:rsidRPr="006C4969" w:rsidRDefault="00242F40" w:rsidP="004F2390">
      <w:pPr>
        <w:pStyle w:val="BodyText"/>
        <w:jc w:val="both"/>
      </w:pPr>
      <w:r w:rsidRPr="006C4969">
        <w:t xml:space="preserve">The appointment of the </w:t>
      </w:r>
      <w:r w:rsidR="002523D1">
        <w:t xml:space="preserve">BPR </w:t>
      </w:r>
      <w:r w:rsidRPr="006C4969">
        <w:t xml:space="preserve">SPOC must be signed by their superior in the relevant organisation. </w:t>
      </w:r>
    </w:p>
    <w:p w14:paraId="4F17C39E" w14:textId="42B54DB8" w:rsidR="00242F40" w:rsidRPr="00BA5BCC" w:rsidRDefault="00242F40" w:rsidP="004F2390">
      <w:pPr>
        <w:pStyle w:val="BodyText"/>
        <w:jc w:val="both"/>
      </w:pPr>
      <w:r w:rsidRPr="006C4969">
        <w:t xml:space="preserve">Please refer to </w:t>
      </w:r>
      <w:r w:rsidRPr="00AA7268">
        <w:t xml:space="preserve">Appendix </w:t>
      </w:r>
      <w:r w:rsidR="00AA7268" w:rsidRPr="00AA7268">
        <w:t>2</w:t>
      </w:r>
      <w:r w:rsidRPr="00D72CD3">
        <w:t>,</w:t>
      </w:r>
      <w:r>
        <w:t xml:space="preserve"> </w:t>
      </w:r>
      <w:r w:rsidRPr="006C4969">
        <w:t xml:space="preserve">“Template for nominating </w:t>
      </w:r>
      <w:r w:rsidR="00981ECC">
        <w:t xml:space="preserve">BPR </w:t>
      </w:r>
      <w:r>
        <w:t>NEA</w:t>
      </w:r>
      <w:r w:rsidRPr="006C4969">
        <w:t xml:space="preserve"> Administrators and </w:t>
      </w:r>
      <w:r w:rsidR="00981ECC">
        <w:t xml:space="preserve">BPR </w:t>
      </w:r>
      <w:r w:rsidRPr="006C4969">
        <w:t>end-user support points-of-contact” which contains a ready template for such appointment decision</w:t>
      </w:r>
      <w:r>
        <w:t>, with all information needed by ECHA</w:t>
      </w:r>
      <w:r w:rsidRPr="006C4969">
        <w:t xml:space="preserve">. </w:t>
      </w:r>
    </w:p>
    <w:p w14:paraId="5DB8753D" w14:textId="77777777" w:rsidR="00242F40" w:rsidRPr="006C4969" w:rsidRDefault="00242F40" w:rsidP="004F2390">
      <w:pPr>
        <w:pStyle w:val="Heading3"/>
        <w:jc w:val="both"/>
      </w:pPr>
      <w:r w:rsidRPr="006C4969">
        <w:lastRenderedPageBreak/>
        <w:tab/>
        <w:t xml:space="preserve">Cover letter </w:t>
      </w:r>
    </w:p>
    <w:p w14:paraId="08769422" w14:textId="6B3E8BB7" w:rsidR="00242F40" w:rsidRPr="006C4969" w:rsidRDefault="00242F40" w:rsidP="004F2390">
      <w:pPr>
        <w:pStyle w:val="BodyText"/>
        <w:jc w:val="both"/>
      </w:pPr>
      <w:r w:rsidRPr="006C4969">
        <w:t xml:space="preserve">Since the role </w:t>
      </w:r>
      <w:r>
        <w:t xml:space="preserve">of </w:t>
      </w:r>
      <w:r w:rsidR="002523D1">
        <w:t xml:space="preserve">BPR </w:t>
      </w:r>
      <w:r>
        <w:t xml:space="preserve">SPOC will serve the </w:t>
      </w:r>
      <w:r w:rsidR="00981ECC">
        <w:t xml:space="preserve">BPR </w:t>
      </w:r>
      <w:r>
        <w:t xml:space="preserve">NEA users dealing with the </w:t>
      </w:r>
      <w:r w:rsidR="004F2390">
        <w:t>biocidal product</w:t>
      </w:r>
      <w:r>
        <w:t xml:space="preserve"> regulation, </w:t>
      </w:r>
      <w:r w:rsidRPr="006C4969">
        <w:t xml:space="preserve">the appointment must be solicited by the national member of the </w:t>
      </w:r>
      <w:r w:rsidR="004F2390">
        <w:t xml:space="preserve">BPR Subgroup of the </w:t>
      </w:r>
      <w:r w:rsidRPr="006C4969">
        <w:t>Forum for Exchange of Information on Enforcement (</w:t>
      </w:r>
      <w:r w:rsidR="004F2390">
        <w:t>BPRS</w:t>
      </w:r>
      <w:r w:rsidRPr="006C4969">
        <w:t>)</w:t>
      </w:r>
      <w:r>
        <w:t xml:space="preserve">, in consultation with the </w:t>
      </w:r>
      <w:r w:rsidRPr="006C4969">
        <w:t>member of the Security Officers Network (SON)</w:t>
      </w:r>
      <w:r>
        <w:t>. This ensures that all relevant stakeholders on the national level are aligned about the appointment of the SPOC</w:t>
      </w:r>
      <w:r w:rsidRPr="006C4969">
        <w:t>.</w:t>
      </w:r>
    </w:p>
    <w:p w14:paraId="481D9034" w14:textId="77777777" w:rsidR="00242F40" w:rsidRPr="006C4969" w:rsidRDefault="00242F40" w:rsidP="004F2390">
      <w:pPr>
        <w:jc w:val="both"/>
      </w:pPr>
    </w:p>
    <w:p w14:paraId="3131E90B" w14:textId="77777777" w:rsidR="00242F40" w:rsidRPr="006C4969" w:rsidRDefault="00242F40" w:rsidP="004F2390">
      <w:pPr>
        <w:pStyle w:val="Heading3"/>
        <w:jc w:val="both"/>
      </w:pPr>
      <w:r w:rsidRPr="006C4969">
        <w:tab/>
        <w:t>Sending the documents to ECHA</w:t>
      </w:r>
    </w:p>
    <w:p w14:paraId="7622D280" w14:textId="5B5AEC79" w:rsidR="005927B3" w:rsidRDefault="005927B3" w:rsidP="005927B3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The duly signed documents are to be scanned and </w:t>
      </w:r>
      <w:r w:rsidRPr="007540EF">
        <w:rPr>
          <w:rFonts w:cs="Arial"/>
        </w:rPr>
        <w:t xml:space="preserve">sent </w:t>
      </w:r>
      <w:r w:rsidR="00A0044B" w:rsidRPr="006E457C">
        <w:rPr>
          <w:rStyle w:val="Hyperlink"/>
          <w:rFonts w:cs="Arial"/>
          <w:color w:val="auto"/>
          <w:u w:val="none"/>
        </w:rPr>
        <w:t>via</w:t>
      </w:r>
      <w:r w:rsidR="00645503" w:rsidRPr="007540EF">
        <w:rPr>
          <w:rFonts w:cs="Arial"/>
        </w:rPr>
        <w:t xml:space="preserve"> the </w:t>
      </w:r>
      <w:r w:rsidR="00645503">
        <w:rPr>
          <w:rFonts w:cs="Arial"/>
        </w:rPr>
        <w:t xml:space="preserve">contact form available at </w:t>
      </w:r>
      <w:hyperlink r:id="rId15" w:history="1">
        <w:r w:rsidR="00D86D71" w:rsidRPr="00E04F19">
          <w:rPr>
            <w:rStyle w:val="Hyperlink"/>
          </w:rPr>
          <w:t>https://comments.echa.europa.eu/comments_cms/ContactFormAuthorities_Nominations.aspx</w:t>
        </w:r>
      </w:hyperlink>
      <w:r w:rsidR="00D86D71">
        <w:t xml:space="preserve"> </w:t>
      </w:r>
      <w:r w:rsidRPr="00DE12A0">
        <w:rPr>
          <w:rFonts w:cs="Arial"/>
        </w:rPr>
        <w:t xml:space="preserve">. </w:t>
      </w:r>
    </w:p>
    <w:p w14:paraId="422BD1CA" w14:textId="77777777" w:rsidR="005927B3" w:rsidRPr="006C4969" w:rsidRDefault="005927B3" w:rsidP="005927B3">
      <w:pPr>
        <w:pStyle w:val="BodyText"/>
        <w:jc w:val="both"/>
      </w:pPr>
    </w:p>
    <w:p w14:paraId="0E2BEF95" w14:textId="30F264FF" w:rsidR="00242F40" w:rsidRPr="00094751" w:rsidRDefault="005927B3" w:rsidP="005927B3">
      <w:pPr>
        <w:pStyle w:val="Heading2"/>
        <w:jc w:val="both"/>
      </w:pPr>
      <w:r>
        <w:t xml:space="preserve"> </w:t>
      </w:r>
      <w:r w:rsidR="004F2390">
        <w:t xml:space="preserve">Interact BPR NEA </w:t>
      </w:r>
      <w:r w:rsidR="00242F40" w:rsidRPr="00094751">
        <w:t>account</w:t>
      </w:r>
      <w:r w:rsidR="00242F40">
        <w:t>s</w:t>
      </w:r>
      <w:r w:rsidR="00242F40" w:rsidRPr="00094751">
        <w:t xml:space="preserve"> for SPOC</w:t>
      </w:r>
    </w:p>
    <w:p w14:paraId="4692D5E2" w14:textId="7D2610D7" w:rsidR="00242F40" w:rsidRPr="006C4969" w:rsidRDefault="00242F40" w:rsidP="004F2390">
      <w:pPr>
        <w:pStyle w:val="BodyText"/>
        <w:jc w:val="both"/>
      </w:pPr>
      <w:r>
        <w:t xml:space="preserve">ECHA </w:t>
      </w:r>
      <w:r w:rsidRPr="006C4969">
        <w:t xml:space="preserve">shall create the account for </w:t>
      </w:r>
      <w:r w:rsidR="00A0044B">
        <w:t xml:space="preserve">BPR </w:t>
      </w:r>
      <w:r w:rsidRPr="006C4969">
        <w:t xml:space="preserve">SPOC, using the appointment decision as a formal document justifying the granting of access to </w:t>
      </w:r>
      <w:r w:rsidR="004F2390">
        <w:t>Interact BPR NEA</w:t>
      </w:r>
      <w:r w:rsidRPr="006C4969">
        <w:t>.</w:t>
      </w:r>
    </w:p>
    <w:p w14:paraId="0A242622" w14:textId="77777777" w:rsidR="00242F40" w:rsidRPr="006C4969" w:rsidRDefault="00242F40" w:rsidP="004F2390">
      <w:pPr>
        <w:pStyle w:val="Heading2"/>
        <w:jc w:val="both"/>
      </w:pPr>
      <w:bookmarkStart w:id="48" w:name="_Toc379196944"/>
      <w:bookmarkStart w:id="49" w:name="_Toc379199262"/>
      <w:r w:rsidRPr="006C4969">
        <w:t>Replacement of SPOCs</w:t>
      </w:r>
      <w:bookmarkEnd w:id="48"/>
      <w:bookmarkEnd w:id="49"/>
    </w:p>
    <w:p w14:paraId="13CDDBDB" w14:textId="360B69CB" w:rsidR="00242F40" w:rsidRPr="006C4969" w:rsidRDefault="00242F40" w:rsidP="004F2390">
      <w:pPr>
        <w:pStyle w:val="BodyText"/>
        <w:jc w:val="both"/>
      </w:pPr>
      <w:r w:rsidRPr="006C4969">
        <w:t xml:space="preserve">Replacement is a process whereby the Member State wishes to change the person who is acting as a </w:t>
      </w:r>
      <w:r w:rsidR="00A0044B">
        <w:t xml:space="preserve">BPR </w:t>
      </w:r>
      <w:r w:rsidRPr="006C4969">
        <w:t xml:space="preserve">SPOC for another one. </w:t>
      </w:r>
    </w:p>
    <w:p w14:paraId="5B7823FE" w14:textId="4A39E1E1" w:rsidR="00242F40" w:rsidRPr="006C4969" w:rsidRDefault="00242F40" w:rsidP="004F2390">
      <w:pPr>
        <w:pStyle w:val="BodyText"/>
        <w:jc w:val="both"/>
      </w:pPr>
      <w:r w:rsidRPr="006C4969">
        <w:t>In such case ECHA shall receive a new appointment according to the same procedure described above. The new appointment shall clearly specify from which date the previous SPOC is being replaced.</w:t>
      </w:r>
      <w:r w:rsidR="00A0044B">
        <w:t xml:space="preserve"> BPR</w:t>
      </w:r>
      <w:r w:rsidRPr="006C4969">
        <w:t xml:space="preserve"> </w:t>
      </w:r>
      <w:r>
        <w:t>NEA</w:t>
      </w:r>
      <w:r w:rsidRPr="006C4969">
        <w:t xml:space="preserve"> Administrator must also</w:t>
      </w:r>
      <w:r w:rsidR="00555D97">
        <w:t xml:space="preserve"> be notified by</w:t>
      </w:r>
      <w:r w:rsidRPr="006C4969">
        <w:t xml:space="preserve"> receiv</w:t>
      </w:r>
      <w:r w:rsidR="00555D97">
        <w:t>ing</w:t>
      </w:r>
      <w:r w:rsidRPr="006C4969">
        <w:t xml:space="preserve"> the same appointment decision as sent to ECHA.</w:t>
      </w:r>
    </w:p>
    <w:p w14:paraId="2B09B366" w14:textId="77777777" w:rsidR="00242F40" w:rsidRPr="00094751" w:rsidRDefault="00242F40" w:rsidP="004F2390">
      <w:pPr>
        <w:pStyle w:val="Heading2"/>
        <w:jc w:val="both"/>
      </w:pPr>
      <w:bookmarkStart w:id="50" w:name="_Toc379196945"/>
      <w:bookmarkStart w:id="51" w:name="_Toc379199263"/>
      <w:r w:rsidRPr="00094751">
        <w:t>Prolongation of current appointment</w:t>
      </w:r>
      <w:bookmarkEnd w:id="50"/>
      <w:bookmarkEnd w:id="51"/>
    </w:p>
    <w:p w14:paraId="1D1662F8" w14:textId="1B8D1579" w:rsidR="00242F40" w:rsidRPr="006C4969" w:rsidRDefault="00242F40" w:rsidP="004F2390">
      <w:pPr>
        <w:pStyle w:val="BodyText"/>
        <w:jc w:val="both"/>
      </w:pPr>
      <w:r w:rsidRPr="006C4969">
        <w:t xml:space="preserve">Prolongation of the current appointment is a process where the Member State wishes to extend the duration of the appointment of the current </w:t>
      </w:r>
      <w:r w:rsidR="00A0044B">
        <w:t xml:space="preserve">BPR </w:t>
      </w:r>
      <w:r w:rsidRPr="006C4969">
        <w:t xml:space="preserve">SPOC and not to change the person who is the </w:t>
      </w:r>
      <w:r w:rsidR="00A0044B">
        <w:t xml:space="preserve">BPR </w:t>
      </w:r>
      <w:r w:rsidRPr="006C4969">
        <w:t>SPOC.</w:t>
      </w:r>
    </w:p>
    <w:p w14:paraId="7EDF7AA3" w14:textId="44317241" w:rsidR="00242F40" w:rsidRPr="006C4969" w:rsidRDefault="00242F40" w:rsidP="004F2390">
      <w:pPr>
        <w:pStyle w:val="BodyText"/>
        <w:jc w:val="both"/>
      </w:pPr>
      <w:r w:rsidRPr="006C4969">
        <w:t xml:space="preserve">In such case the </w:t>
      </w:r>
      <w:r w:rsidR="00A0044B">
        <w:t xml:space="preserve">BPR </w:t>
      </w:r>
      <w:r w:rsidRPr="006C4969">
        <w:t xml:space="preserve">SPOC in question should send to ECHA and </w:t>
      </w:r>
      <w:r w:rsidR="00A0044B">
        <w:t xml:space="preserve">BPR </w:t>
      </w:r>
      <w:r>
        <w:t>NEA</w:t>
      </w:r>
      <w:r w:rsidRPr="006C4969">
        <w:t xml:space="preserve"> Administrator a new and updated decision from his authority, signed by a relevant superior. The prolongation decision should contain the same information as the appointment decision (see</w:t>
      </w:r>
      <w:r w:rsidR="0084219E">
        <w:t xml:space="preserve"> </w:t>
      </w:r>
      <w:r w:rsidR="0084219E" w:rsidRPr="00AA7268">
        <w:t xml:space="preserve">Appendix </w:t>
      </w:r>
      <w:r w:rsidR="00AA7268" w:rsidRPr="00AA7268">
        <w:t>2</w:t>
      </w:r>
      <w:r w:rsidRPr="00AA7268">
        <w:t>)</w:t>
      </w:r>
      <w:r w:rsidRPr="006C4969">
        <w:t xml:space="preserve">, in particular the new ending date of the appointment. It is up to the </w:t>
      </w:r>
      <w:r w:rsidR="00A0044B">
        <w:t xml:space="preserve">BPR </w:t>
      </w:r>
      <w:r>
        <w:t>NEA</w:t>
      </w:r>
      <w:r w:rsidRPr="006C4969">
        <w:t xml:space="preserve"> Administrator to ensure change of ending date in the SPOCs account.</w:t>
      </w:r>
    </w:p>
    <w:p w14:paraId="27C52E1A" w14:textId="12889175" w:rsidR="00242F40" w:rsidRPr="00C75D8D" w:rsidRDefault="00242F40" w:rsidP="004F2390">
      <w:pPr>
        <w:pStyle w:val="BodyText"/>
        <w:jc w:val="both"/>
        <w:rPr>
          <w:rFonts w:cs="Arial"/>
        </w:rPr>
      </w:pPr>
      <w:r w:rsidRPr="006C4969">
        <w:t xml:space="preserve">There is no need to send the cover letter from the </w:t>
      </w:r>
      <w:r w:rsidR="004F2390">
        <w:t xml:space="preserve">BPRS </w:t>
      </w:r>
      <w:r w:rsidR="00A0044B">
        <w:t xml:space="preserve">member </w:t>
      </w:r>
      <w:r w:rsidRPr="006C4969">
        <w:t xml:space="preserve">as it is deemed to be still valid. </w:t>
      </w:r>
      <w:bookmarkStart w:id="52" w:name="_Toc364262423"/>
      <w:bookmarkStart w:id="53" w:name="_Toc365302003"/>
      <w:bookmarkStart w:id="54" w:name="_Toc368788704"/>
      <w:bookmarkStart w:id="55" w:name="_Toc370125696"/>
      <w:bookmarkStart w:id="56" w:name="_Toc370126501"/>
      <w:bookmarkStart w:id="57" w:name="_Toc370132278"/>
      <w:bookmarkStart w:id="58" w:name="_Toc370132535"/>
      <w:bookmarkEnd w:id="52"/>
      <w:bookmarkEnd w:id="53"/>
      <w:bookmarkEnd w:id="54"/>
      <w:bookmarkEnd w:id="55"/>
      <w:bookmarkEnd w:id="56"/>
      <w:bookmarkEnd w:id="57"/>
      <w:bookmarkEnd w:id="58"/>
    </w:p>
    <w:bookmarkEnd w:id="0"/>
    <w:bookmarkEnd w:id="1"/>
    <w:bookmarkEnd w:id="2"/>
    <w:sectPr w:rsidR="00242F40" w:rsidRPr="00C75D8D" w:rsidSect="00555D97">
      <w:headerReference w:type="default" r:id="rId16"/>
      <w:headerReference w:type="first" r:id="rId17"/>
      <w:footerReference w:type="first" r:id="rId18"/>
      <w:pgSz w:w="11907" w:h="16840" w:code="9"/>
      <w:pgMar w:top="25" w:right="1134" w:bottom="993" w:left="1134" w:header="851" w:footer="29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F537" w14:textId="77777777" w:rsidR="00AE785C" w:rsidRDefault="00AE785C">
      <w:r>
        <w:separator/>
      </w:r>
    </w:p>
  </w:endnote>
  <w:endnote w:type="continuationSeparator" w:id="0">
    <w:p w14:paraId="3EE7422A" w14:textId="77777777" w:rsidR="00AE785C" w:rsidRDefault="00AE785C">
      <w:r>
        <w:continuationSeparator/>
      </w:r>
    </w:p>
  </w:endnote>
  <w:endnote w:type="continuationNotice" w:id="1">
    <w:p w14:paraId="244BC537" w14:textId="77777777" w:rsidR="00AE785C" w:rsidRDefault="00AE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C" w14:textId="61C3C267" w:rsidR="00AE785C" w:rsidRPr="00B95CD1" w:rsidRDefault="00AE785C" w:rsidP="002361AC">
    <w:pPr>
      <w:pStyle w:val="Footer"/>
      <w:jc w:val="center"/>
    </w:pPr>
    <w:r w:rsidRPr="00604005">
      <w:rPr>
        <w:lang w:val="fi-FI"/>
      </w:rPr>
      <w:t xml:space="preserve">P.O. Box 400, FI-00121 Helsinki, Finland | Tel. </w:t>
    </w:r>
    <w:r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9EFE" w14:textId="77777777" w:rsidR="00AE785C" w:rsidRDefault="00AE785C">
      <w:r>
        <w:separator/>
      </w:r>
    </w:p>
  </w:footnote>
  <w:footnote w:type="continuationSeparator" w:id="0">
    <w:p w14:paraId="76C9391D" w14:textId="77777777" w:rsidR="00AE785C" w:rsidRDefault="00AE785C">
      <w:r>
        <w:continuationSeparator/>
      </w:r>
    </w:p>
  </w:footnote>
  <w:footnote w:type="continuationNotice" w:id="1">
    <w:p w14:paraId="5BA793B4" w14:textId="77777777" w:rsidR="00AE785C" w:rsidRDefault="00AE785C"/>
  </w:footnote>
  <w:footnote w:id="2">
    <w:p w14:paraId="082D5256" w14:textId="40239CD0" w:rsidR="00AE785C" w:rsidRDefault="00AE785C" w:rsidP="00242F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E53E6">
        <w:t>Interact BPR NEA</w:t>
      </w:r>
      <w:r>
        <w:t xml:space="preserve"> users should be aware of the </w:t>
      </w:r>
      <w:r w:rsidR="006E53E6">
        <w:t>Interact</w:t>
      </w:r>
      <w:r>
        <w:t xml:space="preserve"> Security Recommendations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7"/>
      <w:gridCol w:w="3268"/>
      <w:gridCol w:w="1834"/>
    </w:tblGrid>
    <w:tr w:rsidR="00AE785C" w14:paraId="015848AA" w14:textId="77777777" w:rsidTr="001573CF">
      <w:tc>
        <w:tcPr>
          <w:tcW w:w="4537" w:type="dxa"/>
          <w:vMerge w:val="restart"/>
        </w:tcPr>
        <w:p w14:paraId="1A81ECD4" w14:textId="77777777" w:rsidR="00AE785C" w:rsidRDefault="00AE785C" w:rsidP="00C76127">
          <w:pPr>
            <w:pStyle w:val="Header"/>
            <w:rPr>
              <w:b/>
            </w:rPr>
          </w:pPr>
        </w:p>
      </w:tc>
      <w:tc>
        <w:tcPr>
          <w:tcW w:w="3268" w:type="dxa"/>
        </w:tcPr>
        <w:p w14:paraId="05672E6D" w14:textId="77777777" w:rsidR="00AE785C" w:rsidRDefault="00AE785C" w:rsidP="00C76127">
          <w:pPr>
            <w:pStyle w:val="Header"/>
          </w:pPr>
        </w:p>
      </w:tc>
      <w:tc>
        <w:tcPr>
          <w:tcW w:w="1834" w:type="dxa"/>
        </w:tcPr>
        <w:p w14:paraId="626CC1EB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97368B">
            <w:rPr>
              <w:noProof/>
            </w:rPr>
            <w:t>6</w:t>
          </w:r>
          <w:r w:rsidRPr="00DA3B32">
            <w:fldChar w:fldCharType="end"/>
          </w:r>
          <w:r w:rsidRPr="00DA3B32">
            <w:t xml:space="preserve"> (</w:t>
          </w:r>
          <w:r w:rsidR="004F2390">
            <w:rPr>
              <w:noProof/>
            </w:rPr>
            <w:fldChar w:fldCharType="begin"/>
          </w:r>
          <w:r w:rsidR="004F2390">
            <w:rPr>
              <w:noProof/>
            </w:rPr>
            <w:instrText xml:space="preserve"> NUMPAGES </w:instrText>
          </w:r>
          <w:r w:rsidR="004F2390">
            <w:rPr>
              <w:noProof/>
            </w:rPr>
            <w:fldChar w:fldCharType="separate"/>
          </w:r>
          <w:r w:rsidR="0097368B">
            <w:rPr>
              <w:noProof/>
            </w:rPr>
            <w:t>6</w:t>
          </w:r>
          <w:r w:rsidR="004F2390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4B2BF830" w14:textId="77777777" w:rsidTr="001573CF">
      <w:tc>
        <w:tcPr>
          <w:tcW w:w="4537" w:type="dxa"/>
          <w:vMerge/>
        </w:tcPr>
        <w:p w14:paraId="32E851A3" w14:textId="77777777" w:rsidR="00AE785C" w:rsidRPr="00675E99" w:rsidRDefault="00AE785C" w:rsidP="00C76127">
          <w:pPr>
            <w:pStyle w:val="Header"/>
          </w:pPr>
        </w:p>
      </w:tc>
      <w:tc>
        <w:tcPr>
          <w:tcW w:w="3268" w:type="dxa"/>
        </w:tcPr>
        <w:p w14:paraId="1590B6AE" w14:textId="77777777" w:rsidR="00AE785C" w:rsidRDefault="00AE785C" w:rsidP="00C76127">
          <w:pPr>
            <w:pStyle w:val="Header"/>
          </w:pPr>
        </w:p>
      </w:tc>
      <w:tc>
        <w:tcPr>
          <w:tcW w:w="1834" w:type="dxa"/>
        </w:tcPr>
        <w:p w14:paraId="6BBCF5BB" w14:textId="77777777" w:rsidR="00AE785C" w:rsidRDefault="00AE785C" w:rsidP="00C76127">
          <w:pPr>
            <w:pStyle w:val="Header"/>
            <w:jc w:val="right"/>
          </w:pPr>
        </w:p>
      </w:tc>
    </w:tr>
  </w:tbl>
  <w:p w14:paraId="03B28999" w14:textId="77777777" w:rsidR="00AE785C" w:rsidRDefault="00AE785C" w:rsidP="001573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9"/>
      <w:gridCol w:w="3266"/>
      <w:gridCol w:w="1834"/>
    </w:tblGrid>
    <w:tr w:rsidR="00AE785C" w14:paraId="64020861" w14:textId="77777777" w:rsidTr="00C76127">
      <w:tc>
        <w:tcPr>
          <w:tcW w:w="4541" w:type="dxa"/>
          <w:vMerge w:val="restart"/>
        </w:tcPr>
        <w:p w14:paraId="5DE3588B" w14:textId="77777777" w:rsidR="00AE785C" w:rsidRDefault="00AE785C" w:rsidP="00C76127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537984D4" wp14:editId="77E99015">
                <wp:extent cx="2084400" cy="532800"/>
                <wp:effectExtent l="0" t="0" r="0" b="635"/>
                <wp:docPr id="2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75C8C1C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31BE1395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97368B">
            <w:rPr>
              <w:noProof/>
            </w:rPr>
            <w:t>1</w:t>
          </w:r>
          <w:r w:rsidRPr="00DA3B32">
            <w:fldChar w:fldCharType="end"/>
          </w:r>
          <w:r w:rsidRPr="00DA3B32">
            <w:t xml:space="preserve"> (</w:t>
          </w:r>
          <w:r w:rsidR="004F2390">
            <w:rPr>
              <w:noProof/>
            </w:rPr>
            <w:fldChar w:fldCharType="begin"/>
          </w:r>
          <w:r w:rsidR="004F2390">
            <w:rPr>
              <w:noProof/>
            </w:rPr>
            <w:instrText xml:space="preserve"> NUMPAGES </w:instrText>
          </w:r>
          <w:r w:rsidR="004F2390">
            <w:rPr>
              <w:noProof/>
            </w:rPr>
            <w:fldChar w:fldCharType="separate"/>
          </w:r>
          <w:r w:rsidR="0097368B">
            <w:rPr>
              <w:noProof/>
            </w:rPr>
            <w:t>6</w:t>
          </w:r>
          <w:r w:rsidR="004F2390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1DE9DF2D" w14:textId="77777777" w:rsidTr="00C76127">
      <w:tc>
        <w:tcPr>
          <w:tcW w:w="4541" w:type="dxa"/>
          <w:vMerge/>
        </w:tcPr>
        <w:p w14:paraId="3D08557E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03C49DF7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8ECC262" w14:textId="259554E7" w:rsidR="00AE785C" w:rsidRDefault="000D7F41" w:rsidP="00C76127">
          <w:pPr>
            <w:pStyle w:val="Header"/>
            <w:jc w:val="right"/>
          </w:pPr>
          <w:r>
            <w:t>Helsinki</w:t>
          </w:r>
        </w:p>
      </w:tc>
    </w:tr>
    <w:tr w:rsidR="00AE785C" w14:paraId="6A4C665B" w14:textId="77777777" w:rsidTr="00C76127">
      <w:tc>
        <w:tcPr>
          <w:tcW w:w="4541" w:type="dxa"/>
          <w:vMerge/>
        </w:tcPr>
        <w:p w14:paraId="3023965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04A7A84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44AF2AC" w14:textId="1CF2F2ED" w:rsidR="00AE785C" w:rsidRDefault="00AE785C" w:rsidP="00C76127">
          <w:pPr>
            <w:pStyle w:val="Header"/>
            <w:jc w:val="right"/>
          </w:pPr>
        </w:p>
      </w:tc>
    </w:tr>
    <w:tr w:rsidR="00AE785C" w14:paraId="02C4D058" w14:textId="77777777" w:rsidTr="00C76127">
      <w:tc>
        <w:tcPr>
          <w:tcW w:w="4541" w:type="dxa"/>
          <w:vMerge/>
        </w:tcPr>
        <w:p w14:paraId="0FFFA1E7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5CF2E386" w14:textId="02161E4E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D0F65E4" w14:textId="2F5E1EBA" w:rsidR="00AE785C" w:rsidRDefault="00AE785C" w:rsidP="00C76127">
          <w:pPr>
            <w:pStyle w:val="Header"/>
            <w:jc w:val="right"/>
          </w:pPr>
        </w:p>
      </w:tc>
    </w:tr>
  </w:tbl>
  <w:p w14:paraId="21EBE465" w14:textId="77777777" w:rsidR="00AE785C" w:rsidRDefault="00AE785C" w:rsidP="0024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027C76"/>
    <w:multiLevelType w:val="hybridMultilevel"/>
    <w:tmpl w:val="80221C8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33504AE"/>
    <w:multiLevelType w:val="hybridMultilevel"/>
    <w:tmpl w:val="779E8D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1" w15:restartNumberingAfterBreak="0">
    <w:nsid w:val="14E00734"/>
    <w:multiLevelType w:val="multilevel"/>
    <w:tmpl w:val="17265C0A"/>
    <w:numStyleLink w:val="ECHABulletlist"/>
  </w:abstractNum>
  <w:abstractNum w:abstractNumId="22" w15:restartNumberingAfterBreak="0">
    <w:nsid w:val="1F8D20C9"/>
    <w:multiLevelType w:val="hybridMultilevel"/>
    <w:tmpl w:val="ECFAC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8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666FB"/>
    <w:multiLevelType w:val="multilevel"/>
    <w:tmpl w:val="48F8B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372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53098"/>
    <w:multiLevelType w:val="multilevel"/>
    <w:tmpl w:val="17265C0A"/>
    <w:numStyleLink w:val="ECHABulletlist"/>
  </w:abstractNum>
  <w:abstractNum w:abstractNumId="3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17A92"/>
    <w:multiLevelType w:val="hybridMultilevel"/>
    <w:tmpl w:val="600E5E3C"/>
    <w:lvl w:ilvl="0" w:tplc="9FB8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41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B4DA9"/>
    <w:multiLevelType w:val="hybridMultilevel"/>
    <w:tmpl w:val="FFA4C5BA"/>
    <w:lvl w:ilvl="0" w:tplc="3210E2E4">
      <w:start w:val="1"/>
      <w:numFmt w:val="decimal"/>
      <w:pStyle w:val="TableBody9pt-usermanual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6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B16F1"/>
    <w:multiLevelType w:val="multilevel"/>
    <w:tmpl w:val="17265C0A"/>
    <w:numStyleLink w:val="ECHABulletlist"/>
  </w:abstractNum>
  <w:abstractNum w:abstractNumId="48" w15:restartNumberingAfterBreak="0">
    <w:nsid w:val="7DEE6B0E"/>
    <w:multiLevelType w:val="multilevel"/>
    <w:tmpl w:val="170EC4FA"/>
    <w:lvl w:ilvl="0">
      <w:start w:val="1"/>
      <w:numFmt w:val="decimal"/>
      <w:pStyle w:val="AppendixHeading1-usermanual"/>
      <w:lvlText w:val="Appendix %1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1">
      <w:start w:val="1"/>
      <w:numFmt w:val="decimal"/>
      <w:pStyle w:val="AppendixHeading2-usermanual"/>
      <w:lvlText w:val="Appendix 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AppendixHeading3-usermanual"/>
      <w:lvlText w:val="Appendix 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AppendixHeading4-usermanual"/>
      <w:lvlText w:val="Appendix 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2864092">
    <w:abstractNumId w:val="16"/>
  </w:num>
  <w:num w:numId="2" w16cid:durableId="2033412694">
    <w:abstractNumId w:val="16"/>
  </w:num>
  <w:num w:numId="3" w16cid:durableId="1005011930">
    <w:abstractNumId w:val="25"/>
  </w:num>
  <w:num w:numId="4" w16cid:durableId="1480076742">
    <w:abstractNumId w:val="11"/>
  </w:num>
  <w:num w:numId="5" w16cid:durableId="387847528">
    <w:abstractNumId w:val="44"/>
  </w:num>
  <w:num w:numId="6" w16cid:durableId="193200591">
    <w:abstractNumId w:val="14"/>
  </w:num>
  <w:num w:numId="7" w16cid:durableId="927617488">
    <w:abstractNumId w:val="33"/>
  </w:num>
  <w:num w:numId="8" w16cid:durableId="513306256">
    <w:abstractNumId w:val="24"/>
  </w:num>
  <w:num w:numId="9" w16cid:durableId="369231012">
    <w:abstractNumId w:val="43"/>
  </w:num>
  <w:num w:numId="10" w16cid:durableId="1190723735">
    <w:abstractNumId w:val="10"/>
  </w:num>
  <w:num w:numId="11" w16cid:durableId="558783174">
    <w:abstractNumId w:val="23"/>
  </w:num>
  <w:num w:numId="12" w16cid:durableId="655108464">
    <w:abstractNumId w:val="29"/>
  </w:num>
  <w:num w:numId="13" w16cid:durableId="677852230">
    <w:abstractNumId w:val="40"/>
  </w:num>
  <w:num w:numId="14" w16cid:durableId="950472258">
    <w:abstractNumId w:val="9"/>
  </w:num>
  <w:num w:numId="15" w16cid:durableId="2009020333">
    <w:abstractNumId w:val="7"/>
  </w:num>
  <w:num w:numId="16" w16cid:durableId="576398695">
    <w:abstractNumId w:val="6"/>
  </w:num>
  <w:num w:numId="17" w16cid:durableId="1587225574">
    <w:abstractNumId w:val="5"/>
  </w:num>
  <w:num w:numId="18" w16cid:durableId="1490248867">
    <w:abstractNumId w:val="4"/>
  </w:num>
  <w:num w:numId="19" w16cid:durableId="1128276082">
    <w:abstractNumId w:val="8"/>
  </w:num>
  <w:num w:numId="20" w16cid:durableId="1719276544">
    <w:abstractNumId w:val="3"/>
  </w:num>
  <w:num w:numId="21" w16cid:durableId="1075056094">
    <w:abstractNumId w:val="2"/>
  </w:num>
  <w:num w:numId="22" w16cid:durableId="1208838075">
    <w:abstractNumId w:val="1"/>
  </w:num>
  <w:num w:numId="23" w16cid:durableId="1761102124">
    <w:abstractNumId w:val="0"/>
  </w:num>
  <w:num w:numId="24" w16cid:durableId="648946142">
    <w:abstractNumId w:val="18"/>
  </w:num>
  <w:num w:numId="25" w16cid:durableId="575211412">
    <w:abstractNumId w:val="28"/>
  </w:num>
  <w:num w:numId="26" w16cid:durableId="944459044">
    <w:abstractNumId w:val="37"/>
  </w:num>
  <w:num w:numId="27" w16cid:durableId="1227254600">
    <w:abstractNumId w:val="32"/>
  </w:num>
  <w:num w:numId="28" w16cid:durableId="1562902553">
    <w:abstractNumId w:val="27"/>
  </w:num>
  <w:num w:numId="29" w16cid:durableId="1038819043">
    <w:abstractNumId w:val="45"/>
  </w:num>
  <w:num w:numId="30" w16cid:durableId="1153990279">
    <w:abstractNumId w:val="31"/>
  </w:num>
  <w:num w:numId="31" w16cid:durableId="775057285">
    <w:abstractNumId w:val="35"/>
  </w:num>
  <w:num w:numId="32" w16cid:durableId="1641497203">
    <w:abstractNumId w:val="47"/>
  </w:num>
  <w:num w:numId="33" w16cid:durableId="971447830">
    <w:abstractNumId w:val="21"/>
  </w:num>
  <w:num w:numId="34" w16cid:durableId="650330888">
    <w:abstractNumId w:val="34"/>
  </w:num>
  <w:num w:numId="35" w16cid:durableId="627857950">
    <w:abstractNumId w:val="46"/>
  </w:num>
  <w:num w:numId="36" w16cid:durableId="544877755">
    <w:abstractNumId w:val="12"/>
  </w:num>
  <w:num w:numId="37" w16cid:durableId="676732666">
    <w:abstractNumId w:val="36"/>
  </w:num>
  <w:num w:numId="38" w16cid:durableId="423306158">
    <w:abstractNumId w:val="30"/>
  </w:num>
  <w:num w:numId="39" w16cid:durableId="1769692428">
    <w:abstractNumId w:val="13"/>
  </w:num>
  <w:num w:numId="40" w16cid:durableId="2136948395">
    <w:abstractNumId w:val="20"/>
  </w:num>
  <w:num w:numId="41" w16cid:durableId="688875186">
    <w:abstractNumId w:val="38"/>
  </w:num>
  <w:num w:numId="42" w16cid:durableId="1279988137">
    <w:abstractNumId w:val="41"/>
  </w:num>
  <w:num w:numId="43" w16cid:durableId="947934859">
    <w:abstractNumId w:val="26"/>
  </w:num>
  <w:num w:numId="44" w16cid:durableId="1448230335">
    <w:abstractNumId w:val="15"/>
  </w:num>
  <w:num w:numId="45" w16cid:durableId="1683701476">
    <w:abstractNumId w:val="38"/>
    <w:lvlOverride w:ilvl="0">
      <w:startOverride w:val="1"/>
    </w:lvlOverride>
  </w:num>
  <w:num w:numId="46" w16cid:durableId="111369103">
    <w:abstractNumId w:val="22"/>
  </w:num>
  <w:num w:numId="47" w16cid:durableId="287399523">
    <w:abstractNumId w:val="19"/>
  </w:num>
  <w:num w:numId="48" w16cid:durableId="2045790002">
    <w:abstractNumId w:val="39"/>
  </w:num>
  <w:num w:numId="49" w16cid:durableId="1418017394">
    <w:abstractNumId w:val="48"/>
  </w:num>
  <w:num w:numId="50" w16cid:durableId="1436947689">
    <w:abstractNumId w:val="42"/>
  </w:num>
  <w:num w:numId="51" w16cid:durableId="1878884142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86707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53" w16cid:durableId="439616744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6497">
      <o:colormru v:ext="edit" colors="#eaeaea,#0046ad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250"/>
    <w:rsid w:val="000030AB"/>
    <w:rsid w:val="00003F82"/>
    <w:rsid w:val="00007209"/>
    <w:rsid w:val="000111D9"/>
    <w:rsid w:val="00014A4C"/>
    <w:rsid w:val="00016C84"/>
    <w:rsid w:val="00021E45"/>
    <w:rsid w:val="00026795"/>
    <w:rsid w:val="00026927"/>
    <w:rsid w:val="0002693E"/>
    <w:rsid w:val="00030DD1"/>
    <w:rsid w:val="000352F4"/>
    <w:rsid w:val="000357B3"/>
    <w:rsid w:val="000378C6"/>
    <w:rsid w:val="000430DA"/>
    <w:rsid w:val="0005105D"/>
    <w:rsid w:val="00053CFB"/>
    <w:rsid w:val="000736EE"/>
    <w:rsid w:val="00077ACB"/>
    <w:rsid w:val="000823F3"/>
    <w:rsid w:val="00086916"/>
    <w:rsid w:val="00086D5F"/>
    <w:rsid w:val="00093C43"/>
    <w:rsid w:val="000965E0"/>
    <w:rsid w:val="000A1270"/>
    <w:rsid w:val="000A1AEA"/>
    <w:rsid w:val="000B18F9"/>
    <w:rsid w:val="000B267F"/>
    <w:rsid w:val="000B271E"/>
    <w:rsid w:val="000B3C81"/>
    <w:rsid w:val="000C14AE"/>
    <w:rsid w:val="000C19FC"/>
    <w:rsid w:val="000C1AB9"/>
    <w:rsid w:val="000C55CC"/>
    <w:rsid w:val="000C68D3"/>
    <w:rsid w:val="000D7F41"/>
    <w:rsid w:val="000E7CA0"/>
    <w:rsid w:val="000F2F1D"/>
    <w:rsid w:val="000F3107"/>
    <w:rsid w:val="00101D27"/>
    <w:rsid w:val="0010210A"/>
    <w:rsid w:val="00106CB7"/>
    <w:rsid w:val="00113EBE"/>
    <w:rsid w:val="001146EA"/>
    <w:rsid w:val="001221D3"/>
    <w:rsid w:val="001263FE"/>
    <w:rsid w:val="00132460"/>
    <w:rsid w:val="00132BE0"/>
    <w:rsid w:val="00132CEE"/>
    <w:rsid w:val="00133167"/>
    <w:rsid w:val="00135D7C"/>
    <w:rsid w:val="00147D6F"/>
    <w:rsid w:val="0015188A"/>
    <w:rsid w:val="00151954"/>
    <w:rsid w:val="00152BED"/>
    <w:rsid w:val="00154742"/>
    <w:rsid w:val="001573CF"/>
    <w:rsid w:val="0016203A"/>
    <w:rsid w:val="00163D73"/>
    <w:rsid w:val="001712DF"/>
    <w:rsid w:val="00173441"/>
    <w:rsid w:val="001737D5"/>
    <w:rsid w:val="00177565"/>
    <w:rsid w:val="0018613C"/>
    <w:rsid w:val="001865A0"/>
    <w:rsid w:val="0019265D"/>
    <w:rsid w:val="00197864"/>
    <w:rsid w:val="001A050E"/>
    <w:rsid w:val="001A1D5E"/>
    <w:rsid w:val="001B22EF"/>
    <w:rsid w:val="001B7EA4"/>
    <w:rsid w:val="001D1743"/>
    <w:rsid w:val="001D186B"/>
    <w:rsid w:val="001D1A24"/>
    <w:rsid w:val="001D21AB"/>
    <w:rsid w:val="001D7795"/>
    <w:rsid w:val="001F36F3"/>
    <w:rsid w:val="001F4230"/>
    <w:rsid w:val="001F6534"/>
    <w:rsid w:val="00200E28"/>
    <w:rsid w:val="00201278"/>
    <w:rsid w:val="00212AE8"/>
    <w:rsid w:val="002158B9"/>
    <w:rsid w:val="00221D63"/>
    <w:rsid w:val="002361AC"/>
    <w:rsid w:val="00237503"/>
    <w:rsid w:val="00240246"/>
    <w:rsid w:val="00240726"/>
    <w:rsid w:val="00242F26"/>
    <w:rsid w:val="00242F40"/>
    <w:rsid w:val="002465BD"/>
    <w:rsid w:val="00250459"/>
    <w:rsid w:val="00250623"/>
    <w:rsid w:val="002523D1"/>
    <w:rsid w:val="00253EA6"/>
    <w:rsid w:val="0026157B"/>
    <w:rsid w:val="00261AA5"/>
    <w:rsid w:val="002666A1"/>
    <w:rsid w:val="00266AAB"/>
    <w:rsid w:val="00270353"/>
    <w:rsid w:val="00271A8E"/>
    <w:rsid w:val="002849C8"/>
    <w:rsid w:val="00295B05"/>
    <w:rsid w:val="002A2DB1"/>
    <w:rsid w:val="002A2F43"/>
    <w:rsid w:val="002A2F81"/>
    <w:rsid w:val="002C0962"/>
    <w:rsid w:val="002C0E1C"/>
    <w:rsid w:val="002C1A68"/>
    <w:rsid w:val="002C2E63"/>
    <w:rsid w:val="002D3667"/>
    <w:rsid w:val="002D44B2"/>
    <w:rsid w:val="002D5041"/>
    <w:rsid w:val="002E166F"/>
    <w:rsid w:val="002E1994"/>
    <w:rsid w:val="002E52A3"/>
    <w:rsid w:val="002F138D"/>
    <w:rsid w:val="002F20C0"/>
    <w:rsid w:val="002F3A41"/>
    <w:rsid w:val="002F4355"/>
    <w:rsid w:val="002F59A4"/>
    <w:rsid w:val="002F5E6E"/>
    <w:rsid w:val="002F6705"/>
    <w:rsid w:val="00302760"/>
    <w:rsid w:val="003145C6"/>
    <w:rsid w:val="003153B2"/>
    <w:rsid w:val="00316032"/>
    <w:rsid w:val="00316B98"/>
    <w:rsid w:val="003172DD"/>
    <w:rsid w:val="00320C22"/>
    <w:rsid w:val="00321839"/>
    <w:rsid w:val="0032555C"/>
    <w:rsid w:val="00327440"/>
    <w:rsid w:val="00327879"/>
    <w:rsid w:val="00332890"/>
    <w:rsid w:val="00333BCC"/>
    <w:rsid w:val="00355227"/>
    <w:rsid w:val="003564AA"/>
    <w:rsid w:val="0036182E"/>
    <w:rsid w:val="003710E6"/>
    <w:rsid w:val="00373D12"/>
    <w:rsid w:val="0037762D"/>
    <w:rsid w:val="003801A3"/>
    <w:rsid w:val="003860DC"/>
    <w:rsid w:val="003864A8"/>
    <w:rsid w:val="00392D9C"/>
    <w:rsid w:val="00392DB5"/>
    <w:rsid w:val="003940E8"/>
    <w:rsid w:val="003952CA"/>
    <w:rsid w:val="003A1E09"/>
    <w:rsid w:val="003A4085"/>
    <w:rsid w:val="003A417A"/>
    <w:rsid w:val="003A4A61"/>
    <w:rsid w:val="003A4F76"/>
    <w:rsid w:val="003B4B8F"/>
    <w:rsid w:val="003B4FEF"/>
    <w:rsid w:val="003C1D51"/>
    <w:rsid w:val="003C29F4"/>
    <w:rsid w:val="003C51E8"/>
    <w:rsid w:val="003C573D"/>
    <w:rsid w:val="003D0174"/>
    <w:rsid w:val="003D33F5"/>
    <w:rsid w:val="003D4212"/>
    <w:rsid w:val="003E4527"/>
    <w:rsid w:val="003F2255"/>
    <w:rsid w:val="004021C7"/>
    <w:rsid w:val="00402996"/>
    <w:rsid w:val="00403F9F"/>
    <w:rsid w:val="00406A8C"/>
    <w:rsid w:val="00407A55"/>
    <w:rsid w:val="004136D5"/>
    <w:rsid w:val="00414288"/>
    <w:rsid w:val="00420DF8"/>
    <w:rsid w:val="00427F81"/>
    <w:rsid w:val="00431D3B"/>
    <w:rsid w:val="00444DDA"/>
    <w:rsid w:val="0044624F"/>
    <w:rsid w:val="00460399"/>
    <w:rsid w:val="00460D6D"/>
    <w:rsid w:val="0046507C"/>
    <w:rsid w:val="0046629F"/>
    <w:rsid w:val="00467CB0"/>
    <w:rsid w:val="004706E0"/>
    <w:rsid w:val="00475B3A"/>
    <w:rsid w:val="00483CAD"/>
    <w:rsid w:val="00490003"/>
    <w:rsid w:val="00495AE5"/>
    <w:rsid w:val="00495D72"/>
    <w:rsid w:val="004A038C"/>
    <w:rsid w:val="004A14FA"/>
    <w:rsid w:val="004A5E3C"/>
    <w:rsid w:val="004B1DEA"/>
    <w:rsid w:val="004B294F"/>
    <w:rsid w:val="004B3280"/>
    <w:rsid w:val="004C309A"/>
    <w:rsid w:val="004C3F7C"/>
    <w:rsid w:val="004C4902"/>
    <w:rsid w:val="004C49CE"/>
    <w:rsid w:val="004D04DA"/>
    <w:rsid w:val="004D1C68"/>
    <w:rsid w:val="004D5EF3"/>
    <w:rsid w:val="004D668C"/>
    <w:rsid w:val="004E06AD"/>
    <w:rsid w:val="004E2595"/>
    <w:rsid w:val="004E27AF"/>
    <w:rsid w:val="004E7361"/>
    <w:rsid w:val="004F2390"/>
    <w:rsid w:val="004F7E3E"/>
    <w:rsid w:val="00500CED"/>
    <w:rsid w:val="0050547D"/>
    <w:rsid w:val="00510690"/>
    <w:rsid w:val="00512A52"/>
    <w:rsid w:val="0051442C"/>
    <w:rsid w:val="00517C6F"/>
    <w:rsid w:val="00517DCE"/>
    <w:rsid w:val="00525BED"/>
    <w:rsid w:val="00531C09"/>
    <w:rsid w:val="00533673"/>
    <w:rsid w:val="00536F22"/>
    <w:rsid w:val="005377F6"/>
    <w:rsid w:val="00537D15"/>
    <w:rsid w:val="00540E7D"/>
    <w:rsid w:val="00541F3E"/>
    <w:rsid w:val="005528CF"/>
    <w:rsid w:val="0055500D"/>
    <w:rsid w:val="00555D97"/>
    <w:rsid w:val="00561F0E"/>
    <w:rsid w:val="00562181"/>
    <w:rsid w:val="00562C2A"/>
    <w:rsid w:val="005634C1"/>
    <w:rsid w:val="005712A9"/>
    <w:rsid w:val="00576E17"/>
    <w:rsid w:val="00587E4E"/>
    <w:rsid w:val="00590B56"/>
    <w:rsid w:val="00591870"/>
    <w:rsid w:val="005927B3"/>
    <w:rsid w:val="0059292F"/>
    <w:rsid w:val="00593960"/>
    <w:rsid w:val="005956F0"/>
    <w:rsid w:val="005974A9"/>
    <w:rsid w:val="005A370F"/>
    <w:rsid w:val="005A402C"/>
    <w:rsid w:val="005B3F6D"/>
    <w:rsid w:val="005C06DE"/>
    <w:rsid w:val="005C2A26"/>
    <w:rsid w:val="005D26D9"/>
    <w:rsid w:val="005D38E4"/>
    <w:rsid w:val="00601280"/>
    <w:rsid w:val="00602422"/>
    <w:rsid w:val="00603224"/>
    <w:rsid w:val="00604005"/>
    <w:rsid w:val="0060518E"/>
    <w:rsid w:val="0060540D"/>
    <w:rsid w:val="00612ED9"/>
    <w:rsid w:val="00641B2E"/>
    <w:rsid w:val="0064204F"/>
    <w:rsid w:val="0064356A"/>
    <w:rsid w:val="00645503"/>
    <w:rsid w:val="0065326B"/>
    <w:rsid w:val="006561C2"/>
    <w:rsid w:val="00660960"/>
    <w:rsid w:val="006640EC"/>
    <w:rsid w:val="00664221"/>
    <w:rsid w:val="0066534F"/>
    <w:rsid w:val="00665AE4"/>
    <w:rsid w:val="00675E99"/>
    <w:rsid w:val="006774A2"/>
    <w:rsid w:val="0068654B"/>
    <w:rsid w:val="006870CD"/>
    <w:rsid w:val="006B4925"/>
    <w:rsid w:val="006B6C8A"/>
    <w:rsid w:val="006C12D6"/>
    <w:rsid w:val="006D6036"/>
    <w:rsid w:val="006D6EE8"/>
    <w:rsid w:val="006D763B"/>
    <w:rsid w:val="006E457C"/>
    <w:rsid w:val="006E53E6"/>
    <w:rsid w:val="006E7A50"/>
    <w:rsid w:val="006E7E38"/>
    <w:rsid w:val="006F057A"/>
    <w:rsid w:val="006F057E"/>
    <w:rsid w:val="006F74F1"/>
    <w:rsid w:val="0070101E"/>
    <w:rsid w:val="00706AF8"/>
    <w:rsid w:val="00713B16"/>
    <w:rsid w:val="007229C0"/>
    <w:rsid w:val="007341B7"/>
    <w:rsid w:val="007431F5"/>
    <w:rsid w:val="007453E9"/>
    <w:rsid w:val="007540EF"/>
    <w:rsid w:val="0075468D"/>
    <w:rsid w:val="007565F0"/>
    <w:rsid w:val="007601A9"/>
    <w:rsid w:val="00770AD5"/>
    <w:rsid w:val="007743BC"/>
    <w:rsid w:val="00777211"/>
    <w:rsid w:val="0078127B"/>
    <w:rsid w:val="00784FC0"/>
    <w:rsid w:val="00794197"/>
    <w:rsid w:val="00796E02"/>
    <w:rsid w:val="007A40AB"/>
    <w:rsid w:val="007A4938"/>
    <w:rsid w:val="007A6160"/>
    <w:rsid w:val="007B783A"/>
    <w:rsid w:val="007C29B8"/>
    <w:rsid w:val="007D35D6"/>
    <w:rsid w:val="007D4BB5"/>
    <w:rsid w:val="007D4BD8"/>
    <w:rsid w:val="007D5788"/>
    <w:rsid w:val="007D706A"/>
    <w:rsid w:val="007D7F4D"/>
    <w:rsid w:val="008120E4"/>
    <w:rsid w:val="00812DC4"/>
    <w:rsid w:val="0081538E"/>
    <w:rsid w:val="00817DAB"/>
    <w:rsid w:val="0083551A"/>
    <w:rsid w:val="00836C67"/>
    <w:rsid w:val="008408CD"/>
    <w:rsid w:val="0084219E"/>
    <w:rsid w:val="0084799E"/>
    <w:rsid w:val="00853AAE"/>
    <w:rsid w:val="00857674"/>
    <w:rsid w:val="0086272F"/>
    <w:rsid w:val="008744B2"/>
    <w:rsid w:val="00874617"/>
    <w:rsid w:val="00881D28"/>
    <w:rsid w:val="008838C5"/>
    <w:rsid w:val="00883A1C"/>
    <w:rsid w:val="008905D8"/>
    <w:rsid w:val="00895880"/>
    <w:rsid w:val="008963F2"/>
    <w:rsid w:val="008A0D3D"/>
    <w:rsid w:val="008A194B"/>
    <w:rsid w:val="008A3075"/>
    <w:rsid w:val="008A308E"/>
    <w:rsid w:val="008B26C2"/>
    <w:rsid w:val="008B529D"/>
    <w:rsid w:val="008D36BB"/>
    <w:rsid w:val="008D4138"/>
    <w:rsid w:val="008D4E41"/>
    <w:rsid w:val="008D639D"/>
    <w:rsid w:val="008D782B"/>
    <w:rsid w:val="008E2259"/>
    <w:rsid w:val="008E47F0"/>
    <w:rsid w:val="008F3484"/>
    <w:rsid w:val="008F3EA6"/>
    <w:rsid w:val="00905BC9"/>
    <w:rsid w:val="00907483"/>
    <w:rsid w:val="00911556"/>
    <w:rsid w:val="00913E6F"/>
    <w:rsid w:val="009200A9"/>
    <w:rsid w:val="009202BC"/>
    <w:rsid w:val="00922BFC"/>
    <w:rsid w:val="00925AED"/>
    <w:rsid w:val="00933A35"/>
    <w:rsid w:val="00946337"/>
    <w:rsid w:val="009571D9"/>
    <w:rsid w:val="0097276E"/>
    <w:rsid w:val="0097368B"/>
    <w:rsid w:val="00981ECC"/>
    <w:rsid w:val="00986026"/>
    <w:rsid w:val="00992F37"/>
    <w:rsid w:val="00993881"/>
    <w:rsid w:val="00997A7D"/>
    <w:rsid w:val="00997F05"/>
    <w:rsid w:val="009B6D30"/>
    <w:rsid w:val="009B6F30"/>
    <w:rsid w:val="009C21B3"/>
    <w:rsid w:val="009C3F06"/>
    <w:rsid w:val="009C60CE"/>
    <w:rsid w:val="009D455B"/>
    <w:rsid w:val="009E02CD"/>
    <w:rsid w:val="009E2857"/>
    <w:rsid w:val="009E4773"/>
    <w:rsid w:val="009E6A07"/>
    <w:rsid w:val="009E7218"/>
    <w:rsid w:val="009F0825"/>
    <w:rsid w:val="009F09AB"/>
    <w:rsid w:val="009F3E81"/>
    <w:rsid w:val="00A0044B"/>
    <w:rsid w:val="00A12F80"/>
    <w:rsid w:val="00A1716C"/>
    <w:rsid w:val="00A23846"/>
    <w:rsid w:val="00A3061E"/>
    <w:rsid w:val="00A32DBE"/>
    <w:rsid w:val="00A36E05"/>
    <w:rsid w:val="00A43157"/>
    <w:rsid w:val="00A55146"/>
    <w:rsid w:val="00A57872"/>
    <w:rsid w:val="00A57893"/>
    <w:rsid w:val="00A610A6"/>
    <w:rsid w:val="00A71043"/>
    <w:rsid w:val="00A8250A"/>
    <w:rsid w:val="00A8381A"/>
    <w:rsid w:val="00A912E2"/>
    <w:rsid w:val="00A942C6"/>
    <w:rsid w:val="00A9554E"/>
    <w:rsid w:val="00AA0752"/>
    <w:rsid w:val="00AA28D4"/>
    <w:rsid w:val="00AA7268"/>
    <w:rsid w:val="00AA7FA7"/>
    <w:rsid w:val="00AB28FC"/>
    <w:rsid w:val="00AB2D66"/>
    <w:rsid w:val="00AB2F08"/>
    <w:rsid w:val="00AB3E63"/>
    <w:rsid w:val="00AB6095"/>
    <w:rsid w:val="00AC0981"/>
    <w:rsid w:val="00AC1CE4"/>
    <w:rsid w:val="00AC5EDB"/>
    <w:rsid w:val="00AC739C"/>
    <w:rsid w:val="00AD3AD0"/>
    <w:rsid w:val="00AD61EF"/>
    <w:rsid w:val="00AE01BF"/>
    <w:rsid w:val="00AE0CF0"/>
    <w:rsid w:val="00AE3317"/>
    <w:rsid w:val="00AE785C"/>
    <w:rsid w:val="00AE7DF5"/>
    <w:rsid w:val="00AF199D"/>
    <w:rsid w:val="00AF24F9"/>
    <w:rsid w:val="00AF5398"/>
    <w:rsid w:val="00AF5F86"/>
    <w:rsid w:val="00AF74E2"/>
    <w:rsid w:val="00B0086C"/>
    <w:rsid w:val="00B21241"/>
    <w:rsid w:val="00B21815"/>
    <w:rsid w:val="00B2235E"/>
    <w:rsid w:val="00B23E83"/>
    <w:rsid w:val="00B309D0"/>
    <w:rsid w:val="00B355B8"/>
    <w:rsid w:val="00B41131"/>
    <w:rsid w:val="00B421AB"/>
    <w:rsid w:val="00B5008E"/>
    <w:rsid w:val="00B53727"/>
    <w:rsid w:val="00B611BD"/>
    <w:rsid w:val="00B657A3"/>
    <w:rsid w:val="00B65910"/>
    <w:rsid w:val="00B70F49"/>
    <w:rsid w:val="00B80325"/>
    <w:rsid w:val="00B81A44"/>
    <w:rsid w:val="00B95CD1"/>
    <w:rsid w:val="00B96852"/>
    <w:rsid w:val="00B97E7C"/>
    <w:rsid w:val="00BA1522"/>
    <w:rsid w:val="00BA19AD"/>
    <w:rsid w:val="00BA64C0"/>
    <w:rsid w:val="00BA6E27"/>
    <w:rsid w:val="00BB1C1D"/>
    <w:rsid w:val="00BB2EDF"/>
    <w:rsid w:val="00BB783C"/>
    <w:rsid w:val="00BC0C73"/>
    <w:rsid w:val="00BC1484"/>
    <w:rsid w:val="00BC25DF"/>
    <w:rsid w:val="00BC5C6F"/>
    <w:rsid w:val="00BD390D"/>
    <w:rsid w:val="00BD6F9F"/>
    <w:rsid w:val="00BD6FE1"/>
    <w:rsid w:val="00BE0646"/>
    <w:rsid w:val="00BE2F8C"/>
    <w:rsid w:val="00BE7FFE"/>
    <w:rsid w:val="00BF1F67"/>
    <w:rsid w:val="00BF4AF0"/>
    <w:rsid w:val="00C01204"/>
    <w:rsid w:val="00C01FBF"/>
    <w:rsid w:val="00C04DC3"/>
    <w:rsid w:val="00C13037"/>
    <w:rsid w:val="00C135DC"/>
    <w:rsid w:val="00C1570E"/>
    <w:rsid w:val="00C21555"/>
    <w:rsid w:val="00C242AF"/>
    <w:rsid w:val="00C25D66"/>
    <w:rsid w:val="00C27B8F"/>
    <w:rsid w:val="00C31297"/>
    <w:rsid w:val="00C3186B"/>
    <w:rsid w:val="00C33B22"/>
    <w:rsid w:val="00C368DA"/>
    <w:rsid w:val="00C42D1A"/>
    <w:rsid w:val="00C441B5"/>
    <w:rsid w:val="00C50511"/>
    <w:rsid w:val="00C50B08"/>
    <w:rsid w:val="00C56CCC"/>
    <w:rsid w:val="00C60D73"/>
    <w:rsid w:val="00C61097"/>
    <w:rsid w:val="00C6539C"/>
    <w:rsid w:val="00C65741"/>
    <w:rsid w:val="00C76127"/>
    <w:rsid w:val="00C8130F"/>
    <w:rsid w:val="00C81566"/>
    <w:rsid w:val="00C9063E"/>
    <w:rsid w:val="00C9147B"/>
    <w:rsid w:val="00C94C23"/>
    <w:rsid w:val="00C96DA9"/>
    <w:rsid w:val="00CA05FF"/>
    <w:rsid w:val="00CA53AE"/>
    <w:rsid w:val="00CA7A50"/>
    <w:rsid w:val="00CB171B"/>
    <w:rsid w:val="00CB7DFC"/>
    <w:rsid w:val="00CC5A9A"/>
    <w:rsid w:val="00CC6E6F"/>
    <w:rsid w:val="00CD3320"/>
    <w:rsid w:val="00CE1C5F"/>
    <w:rsid w:val="00CE268A"/>
    <w:rsid w:val="00CE43BC"/>
    <w:rsid w:val="00CE631F"/>
    <w:rsid w:val="00CE6855"/>
    <w:rsid w:val="00CF0734"/>
    <w:rsid w:val="00CF2F0D"/>
    <w:rsid w:val="00CF302A"/>
    <w:rsid w:val="00CF5846"/>
    <w:rsid w:val="00CF5FE6"/>
    <w:rsid w:val="00D13817"/>
    <w:rsid w:val="00D1505E"/>
    <w:rsid w:val="00D16853"/>
    <w:rsid w:val="00D17CE4"/>
    <w:rsid w:val="00D3299D"/>
    <w:rsid w:val="00D32F0F"/>
    <w:rsid w:val="00D355DA"/>
    <w:rsid w:val="00D40E01"/>
    <w:rsid w:val="00D42EB1"/>
    <w:rsid w:val="00D43BED"/>
    <w:rsid w:val="00D56428"/>
    <w:rsid w:val="00D57523"/>
    <w:rsid w:val="00D66AD7"/>
    <w:rsid w:val="00D72CD3"/>
    <w:rsid w:val="00D73A2B"/>
    <w:rsid w:val="00D74278"/>
    <w:rsid w:val="00D75474"/>
    <w:rsid w:val="00D82125"/>
    <w:rsid w:val="00D82D04"/>
    <w:rsid w:val="00D86D71"/>
    <w:rsid w:val="00D8784F"/>
    <w:rsid w:val="00D92029"/>
    <w:rsid w:val="00D9317E"/>
    <w:rsid w:val="00D94D20"/>
    <w:rsid w:val="00D95BA5"/>
    <w:rsid w:val="00D96564"/>
    <w:rsid w:val="00D9770E"/>
    <w:rsid w:val="00D97D8C"/>
    <w:rsid w:val="00DA3B32"/>
    <w:rsid w:val="00DA6862"/>
    <w:rsid w:val="00DA6AE3"/>
    <w:rsid w:val="00DB21AF"/>
    <w:rsid w:val="00DB2840"/>
    <w:rsid w:val="00DB50B0"/>
    <w:rsid w:val="00DB6A9B"/>
    <w:rsid w:val="00DC2D91"/>
    <w:rsid w:val="00DC302E"/>
    <w:rsid w:val="00DD2541"/>
    <w:rsid w:val="00DD353F"/>
    <w:rsid w:val="00DD5524"/>
    <w:rsid w:val="00DD59E2"/>
    <w:rsid w:val="00DD7DD8"/>
    <w:rsid w:val="00DE09FB"/>
    <w:rsid w:val="00DE2DDD"/>
    <w:rsid w:val="00DE4486"/>
    <w:rsid w:val="00DF29E0"/>
    <w:rsid w:val="00DF39F4"/>
    <w:rsid w:val="00E0216C"/>
    <w:rsid w:val="00E06003"/>
    <w:rsid w:val="00E06C86"/>
    <w:rsid w:val="00E10AC6"/>
    <w:rsid w:val="00E15A42"/>
    <w:rsid w:val="00E218F5"/>
    <w:rsid w:val="00E2205A"/>
    <w:rsid w:val="00E22C5B"/>
    <w:rsid w:val="00E262AB"/>
    <w:rsid w:val="00E32855"/>
    <w:rsid w:val="00E43183"/>
    <w:rsid w:val="00E43932"/>
    <w:rsid w:val="00E47CDE"/>
    <w:rsid w:val="00E51045"/>
    <w:rsid w:val="00E62F59"/>
    <w:rsid w:val="00E636BC"/>
    <w:rsid w:val="00E64C15"/>
    <w:rsid w:val="00E65D7C"/>
    <w:rsid w:val="00E75991"/>
    <w:rsid w:val="00E76061"/>
    <w:rsid w:val="00E8324E"/>
    <w:rsid w:val="00E85116"/>
    <w:rsid w:val="00E90423"/>
    <w:rsid w:val="00E91862"/>
    <w:rsid w:val="00E92B50"/>
    <w:rsid w:val="00EA1FA8"/>
    <w:rsid w:val="00EA4E14"/>
    <w:rsid w:val="00EA54BD"/>
    <w:rsid w:val="00EB5957"/>
    <w:rsid w:val="00EB61D7"/>
    <w:rsid w:val="00EC26F5"/>
    <w:rsid w:val="00EC39CB"/>
    <w:rsid w:val="00EC7051"/>
    <w:rsid w:val="00ED18B4"/>
    <w:rsid w:val="00ED3DAD"/>
    <w:rsid w:val="00ED532A"/>
    <w:rsid w:val="00ED7E19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1412A"/>
    <w:rsid w:val="00F428DD"/>
    <w:rsid w:val="00F45850"/>
    <w:rsid w:val="00F47D6F"/>
    <w:rsid w:val="00F52BF3"/>
    <w:rsid w:val="00F71490"/>
    <w:rsid w:val="00F73411"/>
    <w:rsid w:val="00F734E8"/>
    <w:rsid w:val="00F77194"/>
    <w:rsid w:val="00F814A1"/>
    <w:rsid w:val="00F82D6B"/>
    <w:rsid w:val="00F90053"/>
    <w:rsid w:val="00F91F2F"/>
    <w:rsid w:val="00F93076"/>
    <w:rsid w:val="00F93DCA"/>
    <w:rsid w:val="00F94E2E"/>
    <w:rsid w:val="00FB039C"/>
    <w:rsid w:val="00FC3029"/>
    <w:rsid w:val="00FD3055"/>
    <w:rsid w:val="00FD4342"/>
    <w:rsid w:val="00FD7002"/>
    <w:rsid w:val="00FE3C0D"/>
    <w:rsid w:val="00FE6E8D"/>
    <w:rsid w:val="00FE739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01748DCB"/>
  <w15:docId w15:val="{2BDBC149-6F44-42FD-8B93-6885C76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24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ind w:left="0"/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basedOn w:val="DefaultParagraphFont"/>
    <w:rsid w:val="005634C1"/>
    <w:rPr>
      <w:rFonts w:ascii="Verdana" w:hAnsi="Verdana"/>
      <w:sz w:val="20"/>
    </w:rPr>
  </w:style>
  <w:style w:type="character" w:customStyle="1" w:styleId="Italic">
    <w:name w:val="Italic"/>
    <w:basedOn w:val="DefaultParagraphFont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basedOn w:val="DefaultParagraphFont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basedOn w:val="DefaultParagraphFont"/>
    <w:semiHidden/>
    <w:rsid w:val="004029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basedOn w:val="DefaultParagraphFont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basedOn w:val="DefaultParagraphFont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link w:val="BulletedList1-usermanualCharChar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1263FE"/>
    <w:rPr>
      <w:sz w:val="18"/>
    </w:rPr>
  </w:style>
  <w:style w:type="character" w:styleId="FootnoteReference">
    <w:name w:val="footnote reference"/>
    <w:aliases w:val="Footnote"/>
    <w:basedOn w:val="DefaultParagraphFont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basedOn w:val="DefaultParagraphFont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basedOn w:val="BodyText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basedOn w:val="BodyText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basedOn w:val="DefaultParagraphFont"/>
    <w:uiPriority w:val="19"/>
    <w:rsid w:val="00CE43BC"/>
    <w:rPr>
      <w:i/>
      <w:iCs/>
      <w:color w:val="808080" w:themeColor="text1" w:themeTint="7F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46AD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163D73"/>
    <w:rPr>
      <w:b/>
      <w:bCs/>
    </w:rPr>
  </w:style>
  <w:style w:type="character" w:customStyle="1" w:styleId="HeaderChar">
    <w:name w:val="Header Char"/>
    <w:basedOn w:val="DefaultParagraphFont"/>
    <w:link w:val="Header"/>
    <w:rsid w:val="003A4085"/>
    <w:rPr>
      <w:snapToGrid w:val="0"/>
      <w:lang w:eastAsia="fi-FI"/>
    </w:rPr>
  </w:style>
  <w:style w:type="paragraph" w:styleId="ListParagraph">
    <w:name w:val="List Paragraph"/>
    <w:basedOn w:val="Normal"/>
    <w:uiPriority w:val="34"/>
    <w:rsid w:val="00242F40"/>
    <w:pPr>
      <w:ind w:left="720"/>
      <w:contextualSpacing/>
    </w:pPr>
  </w:style>
  <w:style w:type="character" w:customStyle="1" w:styleId="BulletedList1-usermanualCharChar">
    <w:name w:val="Bulleted List 1 - user manual Char Char"/>
    <w:link w:val="BulletedList1-usermanual"/>
    <w:rsid w:val="00242F40"/>
    <w:rPr>
      <w:snapToGrid w:val="0"/>
      <w:lang w:eastAsia="fi-FI"/>
    </w:rPr>
  </w:style>
  <w:style w:type="paragraph" w:customStyle="1" w:styleId="AppendixHeading1-usermanual">
    <w:name w:val="Appendix Heading 1 - user manual"/>
    <w:basedOn w:val="Normal"/>
    <w:next w:val="BodyText"/>
    <w:autoRedefine/>
    <w:rsid w:val="003A1E09"/>
    <w:pPr>
      <w:keepNext/>
      <w:widowControl/>
      <w:numPr>
        <w:numId w:val="49"/>
      </w:numPr>
      <w:tabs>
        <w:tab w:val="left" w:pos="2098"/>
      </w:tabs>
      <w:spacing w:before="240" w:after="240"/>
      <w:outlineLvl w:val="0"/>
    </w:pPr>
    <w:rPr>
      <w:b/>
      <w:snapToGrid/>
      <w:color w:val="0046AD"/>
      <w:sz w:val="28"/>
      <w:szCs w:val="32"/>
      <w:lang w:eastAsia="fr-FR"/>
    </w:rPr>
  </w:style>
  <w:style w:type="paragraph" w:customStyle="1" w:styleId="AppendixHeading3-usermanual">
    <w:name w:val="Appendix Heading 3 - user manual"/>
    <w:basedOn w:val="Normal"/>
    <w:next w:val="BodyText"/>
    <w:autoRedefine/>
    <w:rsid w:val="00242F40"/>
    <w:pPr>
      <w:keepNext/>
      <w:widowControl/>
      <w:numPr>
        <w:ilvl w:val="2"/>
        <w:numId w:val="49"/>
      </w:numPr>
      <w:spacing w:after="120"/>
      <w:outlineLvl w:val="2"/>
    </w:pPr>
    <w:rPr>
      <w:rFonts w:ascii="Arial" w:hAnsi="Arial"/>
      <w:b/>
      <w:snapToGrid/>
      <w:color w:val="006699"/>
      <w:sz w:val="24"/>
      <w:szCs w:val="24"/>
      <w:lang w:eastAsia="fr-FR"/>
    </w:rPr>
  </w:style>
  <w:style w:type="paragraph" w:customStyle="1" w:styleId="AppendixHeading4-usermanual">
    <w:name w:val="Appendix Heading 4 - user manual"/>
    <w:basedOn w:val="Normal"/>
    <w:next w:val="BodyText"/>
    <w:autoRedefine/>
    <w:rsid w:val="00242F40"/>
    <w:pPr>
      <w:keepNext/>
      <w:widowControl/>
      <w:numPr>
        <w:ilvl w:val="3"/>
        <w:numId w:val="49"/>
      </w:numPr>
      <w:spacing w:after="120"/>
      <w:outlineLvl w:val="3"/>
    </w:pPr>
    <w:rPr>
      <w:rFonts w:ascii="Arial" w:hAnsi="Arial"/>
      <w:b/>
      <w:snapToGrid/>
      <w:color w:val="006699"/>
      <w:sz w:val="22"/>
      <w:szCs w:val="22"/>
      <w:lang w:eastAsia="fr-FR"/>
    </w:rPr>
  </w:style>
  <w:style w:type="paragraph" w:customStyle="1" w:styleId="AppendixHeading2-usermanual">
    <w:name w:val="Appendix Heading 2 - user manual"/>
    <w:basedOn w:val="Normal"/>
    <w:next w:val="BodyText"/>
    <w:autoRedefine/>
    <w:rsid w:val="00242F40"/>
    <w:pPr>
      <w:keepNext/>
      <w:widowControl/>
      <w:numPr>
        <w:ilvl w:val="1"/>
        <w:numId w:val="49"/>
      </w:numPr>
      <w:spacing w:after="120"/>
      <w:outlineLvl w:val="1"/>
    </w:pPr>
    <w:rPr>
      <w:b/>
      <w:snapToGrid/>
      <w:color w:val="0046AD"/>
      <w:sz w:val="24"/>
      <w:szCs w:val="24"/>
      <w:lang w:eastAsia="fr-FR"/>
    </w:rPr>
  </w:style>
  <w:style w:type="paragraph" w:customStyle="1" w:styleId="TableBody9pt-usermanual">
    <w:name w:val="Table Body 9pt - user manual"/>
    <w:basedOn w:val="Normal"/>
    <w:next w:val="BodyText"/>
    <w:autoRedefine/>
    <w:rsid w:val="00242F40"/>
    <w:pPr>
      <w:keepNext/>
      <w:widowControl/>
      <w:numPr>
        <w:numId w:val="50"/>
      </w:numPr>
      <w:tabs>
        <w:tab w:val="left" w:pos="1134"/>
      </w:tabs>
      <w:spacing w:before="60" w:after="20"/>
      <w:ind w:left="357" w:hanging="357"/>
      <w:jc w:val="both"/>
    </w:pPr>
    <w:rPr>
      <w:b/>
      <w:snapToGrid/>
      <w:sz w:val="18"/>
      <w:szCs w:val="18"/>
      <w:lang w:eastAsia="fr-FR"/>
    </w:rPr>
  </w:style>
  <w:style w:type="paragraph" w:styleId="EndnoteText">
    <w:name w:val="endnote text"/>
    <w:basedOn w:val="Normal"/>
    <w:link w:val="EndnoteTextChar"/>
    <w:rsid w:val="00895880"/>
  </w:style>
  <w:style w:type="character" w:customStyle="1" w:styleId="EndnoteTextChar">
    <w:name w:val="Endnote Text Char"/>
    <w:basedOn w:val="DefaultParagraphFont"/>
    <w:link w:val="EndnoteText"/>
    <w:rsid w:val="00895880"/>
    <w:rPr>
      <w:snapToGrid w:val="0"/>
      <w:lang w:eastAsia="fi-FI"/>
    </w:rPr>
  </w:style>
  <w:style w:type="character" w:styleId="EndnoteReference">
    <w:name w:val="endnote reference"/>
    <w:basedOn w:val="DefaultParagraphFont"/>
    <w:rsid w:val="0089588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4DA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D43BED"/>
    <w:rPr>
      <w:snapToGrid w:val="0"/>
      <w:lang w:eastAsia="fi-FI"/>
    </w:rPr>
  </w:style>
  <w:style w:type="paragraph" w:styleId="Revision">
    <w:name w:val="Revision"/>
    <w:hidden/>
    <w:uiPriority w:val="99"/>
    <w:semiHidden/>
    <w:rsid w:val="00E85116"/>
    <w:rPr>
      <w:snapToGrid w:val="0"/>
      <w:lang w:eastAsia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972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omments.echa.europa.eu/comments_cms/ContactFormAuthorities_Nominations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mments.echa.europa.eu/comments_cms/ContactFormAuthorities_Nominations.aspx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ebgate.ec.europa.eu/cas/manuals/EU_Login_Tutori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CHA Colours">
      <a:dk1>
        <a:srgbClr val="000000"/>
      </a:dk1>
      <a:lt1>
        <a:srgbClr val="0046AD"/>
      </a:lt1>
      <a:dk2>
        <a:srgbClr val="008BC8"/>
      </a:dk2>
      <a:lt2>
        <a:srgbClr val="D7EFFA"/>
      </a:lt2>
      <a:accent1>
        <a:srgbClr val="FF9900"/>
      </a:accent1>
      <a:accent2>
        <a:srgbClr val="FFCC00"/>
      </a:accent2>
      <a:accent3>
        <a:srgbClr val="585858"/>
      </a:accent3>
      <a:accent4>
        <a:srgbClr val="EBEBE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b80ede5c-af4c-4bf2-9a87-706a3579dc11">
      <Value>2</Value>
      <Value>1</Value>
    </TaxCatchAll>
    <_dlc_DocId xmlns="b80ede5c-af4c-4bf2-9a87-706a3579dc11">ACTV8-7-126016</_dlc_DocId>
    <_dlc_DocIdUrl xmlns="b80ede5c-af4c-4bf2-9a87-706a3579dc11">
      <Url>https://activity.echa.europa.eu/sites/act-8/process-8-5/_layouts/15/DocIdRedir.aspx?ID=ACTV8-7-126016</Url>
      <Description>ACTV8-7-126016</Description>
    </_dlc_DocIdUrl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 - Management and support to the activities</TermName>
          <TermId xmlns="http://schemas.microsoft.com/office/infopath/2007/PartnerControls">91f564b9-1367-4acb-b492-259edb6cb604</TermId>
        </TermInfo>
      </Terms>
    </ECHAProcessTaxHTField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Props1.xml><?xml version="1.0" encoding="utf-8"?>
<ds:datastoreItem xmlns:ds="http://schemas.openxmlformats.org/officeDocument/2006/customXml" ds:itemID="{88A3CD0D-2C42-4E92-B0B9-EFB03295BB6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80ede5c-af4c-4bf2-9a87-706a3579dc11"/>
    <ds:schemaRef ds:uri="31afcaf8-f2b3-451a-85ab-e20895cb138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934FD-AFF2-4B56-8DB0-5DD6174A8C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4A38D9-31BB-442C-8FAB-02A6EA1C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2A64B-6BFB-4BE3-A454-263549821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FFE69A-49D4-4052-9229-0BA58AD305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828AD6-0655-4ED7-A6D3-5A6243A8327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1771</Words>
  <Characters>9511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PETRISOR Anca-Mirela</dc:creator>
  <cp:lastModifiedBy>TUOMAINEN Anita</cp:lastModifiedBy>
  <cp:revision>4</cp:revision>
  <cp:lastPrinted>2015-08-12T11:27:00Z</cp:lastPrinted>
  <dcterms:created xsi:type="dcterms:W3CDTF">2024-10-07T11:03:00Z</dcterms:created>
  <dcterms:modified xsi:type="dcterms:W3CDTF">2024-10-07T11:51:00Z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0x010100B558917389A54ADDB58930FBD7E6FD57008586DED9191B4C4CBD31A5DF7F304A71008451D4393896684D93F57E6E333E972B</vt:lpwstr>
  </property>
  <property fmtid="{D5CDD505-2E9C-101B-9397-08002B2CF9AE}" pid="3" name="For Staff Handbook">
    <vt:lpwstr>No</vt:lpwstr>
  </property>
  <property fmtid="{D5CDD505-2E9C-101B-9397-08002B2CF9AE}" pid="4" name="ECHAProcess">
    <vt:lpwstr>2;#08.05 Forum - Management and support to the activities|91f564b9-1367-4acb-b492-259edb6cb604</vt:lpwstr>
  </property>
  <property fmtid="{D5CDD505-2E9C-101B-9397-08002B2CF9AE}" pid="5" name="ECHADocumentType">
    <vt:lpwstr/>
  </property>
  <property fmtid="{D5CDD505-2E9C-101B-9397-08002B2CF9AE}" pid="6" name="ECHASecClass">
    <vt:lpwstr>1;#Internal|a0307bc2-faf9-4068-8aeb-b713e4fa2a0f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3965f3f1-a233-4ff9-b883-221e1ca4711c</vt:lpwstr>
  </property>
</Properties>
</file>